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C91CA" w14:textId="0CE36D37" w:rsidR="001C214F" w:rsidRPr="00E93C91" w:rsidRDefault="001C214F" w:rsidP="00A10DC2">
      <w:pPr>
        <w:spacing w:after="0" w:line="240" w:lineRule="auto"/>
        <w:jc w:val="center"/>
        <w:rPr>
          <w:rFonts w:ascii="Times New Roman" w:hAnsi="Times New Roman" w:cs="Times New Roman"/>
          <w:b/>
          <w:sz w:val="28"/>
          <w:szCs w:val="28"/>
          <w:lang w:val="en-GB"/>
        </w:rPr>
      </w:pPr>
      <w:r w:rsidRPr="00E93C91">
        <w:rPr>
          <w:rFonts w:ascii="Times New Roman" w:hAnsi="Times New Roman" w:cs="Times New Roman"/>
          <w:b/>
          <w:sz w:val="28"/>
          <w:szCs w:val="28"/>
          <w:lang w:val="en-GB"/>
        </w:rPr>
        <w:t>Phụ lụ</w:t>
      </w:r>
      <w:r w:rsidR="003515A1">
        <w:rPr>
          <w:rFonts w:ascii="Times New Roman" w:hAnsi="Times New Roman" w:cs="Times New Roman"/>
          <w:b/>
          <w:sz w:val="28"/>
          <w:szCs w:val="28"/>
          <w:lang w:val="en-GB"/>
        </w:rPr>
        <w:t>c 01</w:t>
      </w:r>
      <w:bookmarkStart w:id="0" w:name="_GoBack"/>
      <w:bookmarkEnd w:id="0"/>
    </w:p>
    <w:p w14:paraId="2A11DDE8" w14:textId="77777777" w:rsidR="00A10DC2" w:rsidRPr="00E93C91" w:rsidRDefault="001C214F" w:rsidP="00A10DC2">
      <w:pPr>
        <w:spacing w:after="0" w:line="240" w:lineRule="auto"/>
        <w:jc w:val="center"/>
        <w:rPr>
          <w:rFonts w:ascii="Times New Roman" w:hAnsi="Times New Roman" w:cs="Times New Roman"/>
          <w:b/>
          <w:sz w:val="28"/>
          <w:szCs w:val="28"/>
          <w:lang w:val="en-GB"/>
        </w:rPr>
      </w:pPr>
      <w:r w:rsidRPr="00E93C91">
        <w:rPr>
          <w:rFonts w:ascii="Times New Roman" w:hAnsi="Times New Roman" w:cs="Times New Roman"/>
          <w:b/>
          <w:sz w:val="28"/>
          <w:szCs w:val="28"/>
          <w:lang w:val="en-GB"/>
        </w:rPr>
        <w:t xml:space="preserve">THUYẾT MINH </w:t>
      </w:r>
      <w:r w:rsidR="004B40CE" w:rsidRPr="00E93C91">
        <w:rPr>
          <w:rFonts w:ascii="Times New Roman" w:hAnsi="Times New Roman" w:cs="Times New Roman"/>
          <w:b/>
          <w:sz w:val="28"/>
          <w:szCs w:val="28"/>
          <w:lang w:val="en-GB"/>
        </w:rPr>
        <w:t xml:space="preserve">ĐƠN GIÁ </w:t>
      </w:r>
      <w:r w:rsidR="00A10DC2" w:rsidRPr="00E93C91">
        <w:rPr>
          <w:rFonts w:ascii="Times New Roman" w:hAnsi="Times New Roman" w:cs="Times New Roman"/>
          <w:b/>
          <w:sz w:val="28"/>
          <w:szCs w:val="28"/>
          <w:lang w:val="en-GB"/>
        </w:rPr>
        <w:t xml:space="preserve">HOẠT ĐỘNG THU NHẬN, LƯU TRỮ, </w:t>
      </w:r>
    </w:p>
    <w:p w14:paraId="0A7AD9F0" w14:textId="77777777" w:rsidR="00FF4F22" w:rsidRPr="00E93C91" w:rsidRDefault="00A10DC2" w:rsidP="00A10DC2">
      <w:pPr>
        <w:spacing w:after="0" w:line="240" w:lineRule="auto"/>
        <w:jc w:val="center"/>
        <w:rPr>
          <w:rFonts w:ascii="Times New Roman" w:hAnsi="Times New Roman" w:cs="Times New Roman"/>
          <w:b/>
          <w:sz w:val="28"/>
          <w:szCs w:val="28"/>
          <w:lang w:val="en-GB"/>
        </w:rPr>
      </w:pPr>
      <w:r w:rsidRPr="00E93C91">
        <w:rPr>
          <w:rFonts w:ascii="Times New Roman" w:hAnsi="Times New Roman" w:cs="Times New Roman"/>
          <w:b/>
          <w:sz w:val="28"/>
          <w:szCs w:val="28"/>
          <w:lang w:val="en-GB"/>
        </w:rPr>
        <w:t>BẢO QUẢN VÀ CUNG CẤP THÔNG TIN, DỮ LIỆU</w:t>
      </w:r>
      <w:r w:rsidR="004B40CE" w:rsidRPr="00E93C91">
        <w:rPr>
          <w:rFonts w:ascii="Times New Roman" w:hAnsi="Times New Roman" w:cs="Times New Roman"/>
          <w:b/>
          <w:sz w:val="28"/>
          <w:szCs w:val="28"/>
          <w:lang w:val="en-GB"/>
        </w:rPr>
        <w:t xml:space="preserve"> TÀI NGUYÊN</w:t>
      </w:r>
      <w:r w:rsidR="004B40CE" w:rsidRPr="00E93C91">
        <w:rPr>
          <w:rFonts w:ascii="Times New Roman" w:hAnsi="Times New Roman" w:cs="Times New Roman"/>
          <w:b/>
          <w:sz w:val="28"/>
          <w:szCs w:val="28"/>
          <w:lang w:val="en-GB"/>
        </w:rPr>
        <w:br/>
        <w:t>VÀ MÔI TRƯỜNG TRÊN ĐỊA BÀN TỈNH TRÀ VINH</w:t>
      </w:r>
      <w:r w:rsidR="004B40CE" w:rsidRPr="00E93C91">
        <w:rPr>
          <w:rFonts w:ascii="Times New Roman" w:hAnsi="Times New Roman" w:cs="Times New Roman"/>
          <w:b/>
          <w:sz w:val="28"/>
          <w:szCs w:val="28"/>
          <w:lang w:val="en-GB"/>
        </w:rPr>
        <w:br/>
        <w:t xml:space="preserve">VÀ HƯỚNG DẪN </w:t>
      </w:r>
      <w:r w:rsidR="007F7CDB" w:rsidRPr="00E93C91">
        <w:rPr>
          <w:rFonts w:ascii="Times New Roman" w:hAnsi="Times New Roman" w:cs="Times New Roman"/>
          <w:b/>
          <w:sz w:val="28"/>
          <w:szCs w:val="28"/>
          <w:lang w:val="en-GB"/>
        </w:rPr>
        <w:t>ÁP</w:t>
      </w:r>
      <w:r w:rsidR="004B40CE" w:rsidRPr="00E93C91">
        <w:rPr>
          <w:rFonts w:ascii="Times New Roman" w:hAnsi="Times New Roman" w:cs="Times New Roman"/>
          <w:b/>
          <w:sz w:val="28"/>
          <w:szCs w:val="28"/>
          <w:lang w:val="en-GB"/>
        </w:rPr>
        <w:t xml:space="preserve"> DỤNG ĐƠN GIÁ</w:t>
      </w:r>
    </w:p>
    <w:p w14:paraId="260778B2" w14:textId="293DB0E4" w:rsidR="001C214F" w:rsidRPr="00E93C91" w:rsidRDefault="001C214F" w:rsidP="001C214F">
      <w:pPr>
        <w:spacing w:before="120" w:after="120" w:line="240" w:lineRule="auto"/>
        <w:jc w:val="center"/>
        <w:rPr>
          <w:rFonts w:ascii="Times New Roman" w:hAnsi="Times New Roman" w:cs="Times New Roman"/>
          <w:i/>
          <w:sz w:val="28"/>
          <w:szCs w:val="28"/>
          <w:lang w:val="en-GB"/>
        </w:rPr>
      </w:pPr>
      <w:r w:rsidRPr="00E93C91">
        <w:rPr>
          <w:rFonts w:ascii="Times New Roman" w:hAnsi="Times New Roman" w:cs="Times New Roman"/>
          <w:i/>
          <w:sz w:val="28"/>
          <w:szCs w:val="28"/>
          <w:lang w:val="en-GB"/>
        </w:rPr>
        <w:t xml:space="preserve">(Kèm theo </w:t>
      </w:r>
      <w:r w:rsidR="00E232A4">
        <w:rPr>
          <w:rFonts w:ascii="Times New Roman" w:hAnsi="Times New Roman" w:cs="Times New Roman"/>
          <w:i/>
          <w:sz w:val="28"/>
          <w:szCs w:val="28"/>
          <w:lang w:val="en-GB"/>
        </w:rPr>
        <w:t>Tờ trình</w:t>
      </w:r>
      <w:r w:rsidR="00DA7E4D" w:rsidRPr="00E93C91">
        <w:rPr>
          <w:rFonts w:ascii="Times New Roman" w:hAnsi="Times New Roman" w:cs="Times New Roman"/>
          <w:i/>
          <w:sz w:val="28"/>
          <w:szCs w:val="28"/>
          <w:lang w:val="en-GB"/>
        </w:rPr>
        <w:t xml:space="preserve"> số:          /</w:t>
      </w:r>
      <w:r w:rsidR="00E232A4">
        <w:rPr>
          <w:rFonts w:ascii="Times New Roman" w:hAnsi="Times New Roman" w:cs="Times New Roman"/>
          <w:i/>
          <w:sz w:val="28"/>
          <w:szCs w:val="28"/>
          <w:lang w:val="en-GB"/>
        </w:rPr>
        <w:t>TTr-STNMT</w:t>
      </w:r>
      <w:r w:rsidR="00E23E11" w:rsidRPr="00E93C91">
        <w:rPr>
          <w:rFonts w:ascii="Times New Roman" w:hAnsi="Times New Roman" w:cs="Times New Roman"/>
          <w:i/>
          <w:sz w:val="28"/>
          <w:szCs w:val="28"/>
          <w:lang w:val="en-GB"/>
        </w:rPr>
        <w:t xml:space="preserve"> ngày … </w:t>
      </w:r>
      <w:r w:rsidR="0058246C" w:rsidRPr="00E93C91">
        <w:rPr>
          <w:rFonts w:ascii="Times New Roman" w:hAnsi="Times New Roman" w:cs="Times New Roman"/>
          <w:i/>
          <w:sz w:val="28"/>
          <w:szCs w:val="28"/>
          <w:lang w:val="en-GB"/>
        </w:rPr>
        <w:t xml:space="preserve">tháng … năm </w:t>
      </w:r>
      <w:r w:rsidR="00E23E11" w:rsidRPr="00E93C91">
        <w:rPr>
          <w:rFonts w:ascii="Times New Roman" w:hAnsi="Times New Roman" w:cs="Times New Roman"/>
          <w:i/>
          <w:sz w:val="28"/>
          <w:szCs w:val="28"/>
          <w:lang w:val="en-GB"/>
        </w:rPr>
        <w:t>2022</w:t>
      </w:r>
      <w:r w:rsidR="00E23E11" w:rsidRPr="00E93C91">
        <w:rPr>
          <w:rFonts w:ascii="Times New Roman" w:hAnsi="Times New Roman" w:cs="Times New Roman"/>
          <w:i/>
          <w:sz w:val="28"/>
          <w:szCs w:val="28"/>
          <w:lang w:val="en-GB"/>
        </w:rPr>
        <w:br/>
      </w:r>
      <w:r w:rsidRPr="00E93C91">
        <w:rPr>
          <w:rFonts w:ascii="Times New Roman" w:hAnsi="Times New Roman" w:cs="Times New Roman"/>
          <w:i/>
          <w:sz w:val="28"/>
          <w:szCs w:val="28"/>
          <w:lang w:val="en-GB"/>
        </w:rPr>
        <w:t xml:space="preserve">của </w:t>
      </w:r>
      <w:r w:rsidR="00E232A4">
        <w:rPr>
          <w:rFonts w:ascii="Times New Roman" w:hAnsi="Times New Roman" w:cs="Times New Roman"/>
          <w:i/>
          <w:sz w:val="28"/>
          <w:szCs w:val="28"/>
          <w:lang w:val="en-GB"/>
        </w:rPr>
        <w:t>Sở Tài nguyên và Môi trường</w:t>
      </w:r>
      <w:r w:rsidRPr="00E93C91">
        <w:rPr>
          <w:rFonts w:ascii="Times New Roman" w:hAnsi="Times New Roman" w:cs="Times New Roman"/>
          <w:i/>
          <w:sz w:val="28"/>
          <w:szCs w:val="28"/>
          <w:lang w:val="en-GB"/>
        </w:rPr>
        <w:t>)</w:t>
      </w:r>
    </w:p>
    <w:p w14:paraId="07AE1A76" w14:textId="77777777" w:rsidR="001C214F" w:rsidRPr="00E93C91" w:rsidRDefault="001C214F" w:rsidP="001C214F">
      <w:pPr>
        <w:spacing w:before="120" w:after="120" w:line="240" w:lineRule="auto"/>
        <w:jc w:val="both"/>
        <w:rPr>
          <w:rFonts w:ascii="Times New Roman" w:hAnsi="Times New Roman" w:cs="Times New Roman"/>
          <w:sz w:val="28"/>
          <w:szCs w:val="28"/>
          <w:lang w:val="en-GB"/>
        </w:rPr>
      </w:pPr>
    </w:p>
    <w:p w14:paraId="3D39D385" w14:textId="77777777" w:rsidR="001C214F" w:rsidRPr="00E93C91" w:rsidRDefault="001C214F" w:rsidP="001C214F">
      <w:pPr>
        <w:spacing w:before="120" w:after="120" w:line="240" w:lineRule="auto"/>
        <w:ind w:firstLine="720"/>
        <w:jc w:val="both"/>
        <w:rPr>
          <w:rFonts w:ascii="Times New Roman" w:hAnsi="Times New Roman" w:cs="Times New Roman"/>
          <w:b/>
          <w:sz w:val="28"/>
          <w:szCs w:val="28"/>
          <w:lang w:val="en-GB"/>
        </w:rPr>
      </w:pPr>
      <w:r w:rsidRPr="00E93C91">
        <w:rPr>
          <w:rFonts w:ascii="Times New Roman" w:hAnsi="Times New Roman" w:cs="Times New Roman"/>
          <w:b/>
          <w:sz w:val="28"/>
          <w:szCs w:val="28"/>
          <w:lang w:val="en-GB"/>
        </w:rPr>
        <w:t>I. CƠ SỞ PHÁP LÝ</w:t>
      </w:r>
    </w:p>
    <w:p w14:paraId="6E746710" w14:textId="77777777" w:rsidR="007E26B2" w:rsidRPr="00E93C91" w:rsidRDefault="007E26B2" w:rsidP="007E26B2">
      <w:pPr>
        <w:spacing w:before="120" w:after="0" w:line="240" w:lineRule="auto"/>
        <w:ind w:firstLine="709"/>
        <w:jc w:val="both"/>
        <w:rPr>
          <w:rFonts w:ascii="Times New Roman" w:hAnsi="Times New Roman" w:cs="Times New Roman"/>
          <w:sz w:val="28"/>
          <w:szCs w:val="28"/>
          <w:lang w:val="vi-VN"/>
        </w:rPr>
      </w:pPr>
      <w:r w:rsidRPr="00E93C91">
        <w:rPr>
          <w:rFonts w:ascii="Times New Roman" w:hAnsi="Times New Roman" w:cs="Times New Roman"/>
          <w:sz w:val="28"/>
          <w:szCs w:val="28"/>
          <w:lang w:val="vi-VN"/>
        </w:rPr>
        <w:t>Luật Lưu trữ số 01/2011/QH13 ngày 11 tháng 11 năm 2011;</w:t>
      </w:r>
    </w:p>
    <w:p w14:paraId="02A2B12D" w14:textId="77777777" w:rsidR="00685F16" w:rsidRPr="00E93C91" w:rsidRDefault="00685F16" w:rsidP="00685F16">
      <w:pPr>
        <w:spacing w:before="120" w:after="120" w:line="240" w:lineRule="auto"/>
        <w:ind w:firstLine="720"/>
        <w:jc w:val="both"/>
        <w:rPr>
          <w:rFonts w:ascii="Times New Roman" w:hAnsi="Times New Roman" w:cs="Times New Roman"/>
          <w:sz w:val="28"/>
          <w:szCs w:val="28"/>
          <w:lang w:val="en-GB"/>
        </w:rPr>
      </w:pPr>
      <w:r w:rsidRPr="00E93C91">
        <w:rPr>
          <w:rFonts w:ascii="Times New Roman" w:hAnsi="Times New Roman" w:cs="Times New Roman"/>
          <w:sz w:val="28"/>
          <w:szCs w:val="28"/>
          <w:lang w:val="en-GB"/>
        </w:rPr>
        <w:t>Luật Công đoàn ngày 20 tháng 6 năm 2012;</w:t>
      </w:r>
    </w:p>
    <w:p w14:paraId="3673AF3D" w14:textId="77777777" w:rsidR="007E26B2" w:rsidRPr="00E93C91" w:rsidRDefault="007E26B2" w:rsidP="007E26B2">
      <w:pPr>
        <w:spacing w:before="120" w:after="0" w:line="240" w:lineRule="auto"/>
        <w:ind w:firstLine="709"/>
        <w:jc w:val="both"/>
        <w:rPr>
          <w:rFonts w:ascii="Times New Roman" w:hAnsi="Times New Roman" w:cs="Times New Roman"/>
          <w:sz w:val="28"/>
          <w:szCs w:val="28"/>
        </w:rPr>
      </w:pPr>
      <w:r w:rsidRPr="00E93C91">
        <w:rPr>
          <w:rFonts w:ascii="Times New Roman" w:hAnsi="Times New Roman" w:cs="Times New Roman"/>
          <w:sz w:val="28"/>
          <w:szCs w:val="28"/>
          <w:lang w:val="vi-VN"/>
        </w:rPr>
        <w:t>Nghị định số 204/2004/NĐ-CP ngày 14 tháng 12 năm 2004 của Chính phủ về chế độ tiền lương đối với cán bộ, công chức, viên chức và lực lượng vũ trang;</w:t>
      </w:r>
    </w:p>
    <w:p w14:paraId="0F16913B" w14:textId="77777777" w:rsidR="007E26B2" w:rsidRPr="00E93C91" w:rsidRDefault="007E26B2" w:rsidP="007E26B2">
      <w:pPr>
        <w:spacing w:before="120" w:after="0" w:line="240" w:lineRule="auto"/>
        <w:ind w:firstLine="709"/>
        <w:jc w:val="both"/>
        <w:rPr>
          <w:rFonts w:ascii="Times New Roman" w:hAnsi="Times New Roman" w:cs="Times New Roman"/>
          <w:sz w:val="28"/>
          <w:szCs w:val="28"/>
        </w:rPr>
      </w:pPr>
      <w:r w:rsidRPr="00E93C91">
        <w:rPr>
          <w:rFonts w:ascii="Times New Roman" w:hAnsi="Times New Roman" w:cs="Times New Roman"/>
          <w:sz w:val="28"/>
          <w:szCs w:val="28"/>
          <w:lang w:val="vi-VN"/>
        </w:rPr>
        <w:t>Nghị định số 17/2013/NĐ-CP ngày 19 tháng 02 năm 2013 của Chính phủ về việc sửa đổi, bổ sung một số điều của Nghị định số 204/2004/NĐ-CP ngày 14 tháng 12 năm 2004 của Chính phủ về chế độ tiền lương đối với cán bộ, công chức, viên chức và lực lượng vũ trang;</w:t>
      </w:r>
    </w:p>
    <w:p w14:paraId="6FCE3549" w14:textId="77777777" w:rsidR="007E26B2" w:rsidRPr="00E93C91" w:rsidRDefault="007E26B2" w:rsidP="007E26B2">
      <w:pPr>
        <w:spacing w:before="120" w:after="0" w:line="240" w:lineRule="auto"/>
        <w:ind w:firstLine="709"/>
        <w:jc w:val="both"/>
        <w:rPr>
          <w:rFonts w:ascii="Times New Roman" w:hAnsi="Times New Roman" w:cs="Times New Roman"/>
          <w:sz w:val="28"/>
          <w:szCs w:val="28"/>
          <w:lang w:val="vi-VN"/>
        </w:rPr>
      </w:pPr>
      <w:r w:rsidRPr="00E93C91">
        <w:rPr>
          <w:rFonts w:ascii="Times New Roman" w:hAnsi="Times New Roman" w:cs="Times New Roman"/>
          <w:sz w:val="28"/>
          <w:szCs w:val="28"/>
          <w:lang w:val="vi-VN"/>
        </w:rPr>
        <w:t>Nghị định số 45/2013/NĐ-CP ngày 10 tháng 5 năm 2013 của Chính phủ quy định chi tiết một số điều của Bộ luật lao động về thời giờ làm việc, thời giờ nghỉ ngơi và an toàn lao động, vệ sinh lao động;</w:t>
      </w:r>
    </w:p>
    <w:p w14:paraId="54DF1BD8" w14:textId="77777777" w:rsidR="00685F16" w:rsidRPr="00E93C91" w:rsidRDefault="00685F16" w:rsidP="00685F16">
      <w:pPr>
        <w:spacing w:before="120" w:after="120" w:line="240" w:lineRule="auto"/>
        <w:ind w:firstLine="720"/>
        <w:jc w:val="both"/>
        <w:rPr>
          <w:rFonts w:ascii="Times New Roman" w:hAnsi="Times New Roman" w:cs="Times New Roman"/>
          <w:sz w:val="28"/>
          <w:szCs w:val="28"/>
          <w:lang w:val="en-GB"/>
        </w:rPr>
      </w:pPr>
      <w:r w:rsidRPr="00E93C91">
        <w:rPr>
          <w:rFonts w:ascii="Times New Roman" w:hAnsi="Times New Roman" w:cs="Times New Roman"/>
          <w:sz w:val="28"/>
          <w:szCs w:val="28"/>
          <w:lang w:val="en-GB"/>
        </w:rPr>
        <w:t xml:space="preserve">Nghị định số </w:t>
      </w:r>
      <w:r w:rsidR="00D34581" w:rsidRPr="00E93C91">
        <w:rPr>
          <w:rFonts w:ascii="Times New Roman" w:hAnsi="Times New Roman" w:cs="Times New Roman"/>
          <w:sz w:val="28"/>
          <w:szCs w:val="28"/>
          <w:shd w:val="clear" w:color="auto" w:fill="FFFFFF"/>
        </w:rPr>
        <w:t>146/2018/NĐ-CP</w:t>
      </w:r>
      <w:r w:rsidR="00D34581" w:rsidRPr="00E93C91">
        <w:rPr>
          <w:rFonts w:ascii="Times New Roman" w:hAnsi="Times New Roman" w:cs="Times New Roman"/>
          <w:sz w:val="28"/>
          <w:szCs w:val="28"/>
          <w:lang w:val="en-GB"/>
        </w:rPr>
        <w:t xml:space="preserve"> </w:t>
      </w:r>
      <w:r w:rsidRPr="00E93C91">
        <w:rPr>
          <w:rFonts w:ascii="Times New Roman" w:hAnsi="Times New Roman" w:cs="Times New Roman"/>
          <w:sz w:val="28"/>
          <w:szCs w:val="28"/>
          <w:lang w:val="en-GB"/>
        </w:rPr>
        <w:t>ng</w:t>
      </w:r>
      <w:r w:rsidR="00D34581" w:rsidRPr="00E93C91">
        <w:rPr>
          <w:rFonts w:ascii="Times New Roman" w:hAnsi="Times New Roman" w:cs="Times New Roman"/>
          <w:sz w:val="28"/>
          <w:szCs w:val="28"/>
          <w:lang w:val="en-GB"/>
        </w:rPr>
        <w:t>ày 17 tháng 10</w:t>
      </w:r>
      <w:r w:rsidRPr="00E93C91">
        <w:rPr>
          <w:rFonts w:ascii="Times New Roman" w:hAnsi="Times New Roman" w:cs="Times New Roman"/>
          <w:sz w:val="28"/>
          <w:szCs w:val="28"/>
          <w:lang w:val="en-GB"/>
        </w:rPr>
        <w:t xml:space="preserve"> năm 201</w:t>
      </w:r>
      <w:r w:rsidR="00D34581" w:rsidRPr="00E93C91">
        <w:rPr>
          <w:rFonts w:ascii="Times New Roman" w:hAnsi="Times New Roman" w:cs="Times New Roman"/>
          <w:sz w:val="28"/>
          <w:szCs w:val="28"/>
          <w:lang w:val="en-GB"/>
        </w:rPr>
        <w:t>8</w:t>
      </w:r>
      <w:r w:rsidRPr="00E93C91">
        <w:rPr>
          <w:rFonts w:ascii="Times New Roman" w:hAnsi="Times New Roman" w:cs="Times New Roman"/>
          <w:sz w:val="28"/>
          <w:szCs w:val="28"/>
          <w:lang w:val="en-GB"/>
        </w:rPr>
        <w:t xml:space="preserve"> của Chính phủ quy định chi tiết </w:t>
      </w:r>
      <w:r w:rsidR="00D34581" w:rsidRPr="00E93C91">
        <w:rPr>
          <w:rFonts w:ascii="Times New Roman" w:hAnsi="Times New Roman" w:cs="Times New Roman"/>
          <w:sz w:val="28"/>
          <w:szCs w:val="28"/>
          <w:lang w:val="en-GB"/>
        </w:rPr>
        <w:t xml:space="preserve">và hướng dẫn biện pháp thi hành </w:t>
      </w:r>
      <w:r w:rsidRPr="00E93C91">
        <w:rPr>
          <w:rFonts w:ascii="Times New Roman" w:hAnsi="Times New Roman" w:cs="Times New Roman"/>
          <w:sz w:val="28"/>
          <w:szCs w:val="28"/>
          <w:lang w:val="en-GB"/>
        </w:rPr>
        <w:t>một số điều của Luật Bảo hiểm y tế;</w:t>
      </w:r>
    </w:p>
    <w:p w14:paraId="0E3BFDB8" w14:textId="77777777" w:rsidR="00685F16" w:rsidRPr="00E93C91" w:rsidRDefault="00685F16" w:rsidP="00685F16">
      <w:pPr>
        <w:spacing w:before="120" w:after="120" w:line="240" w:lineRule="auto"/>
        <w:ind w:firstLine="720"/>
        <w:jc w:val="both"/>
        <w:rPr>
          <w:rFonts w:ascii="Times New Roman" w:hAnsi="Times New Roman" w:cs="Times New Roman"/>
          <w:sz w:val="28"/>
          <w:szCs w:val="28"/>
          <w:lang w:val="en-GB"/>
        </w:rPr>
      </w:pPr>
      <w:r w:rsidRPr="00E93C91">
        <w:rPr>
          <w:rFonts w:ascii="Times New Roman" w:hAnsi="Times New Roman" w:cs="Times New Roman"/>
          <w:sz w:val="28"/>
          <w:szCs w:val="28"/>
          <w:lang w:val="en-GB"/>
        </w:rPr>
        <w:t>Nghị định số 28/2015/NĐ-CP ngày 12 tháng 3 năm 2015 của Chính phủ quy định chi tiết một số điều của Luật Việc làm về bảo hiểm thất nghiệp;</w:t>
      </w:r>
    </w:p>
    <w:p w14:paraId="2E8143ED" w14:textId="77777777" w:rsidR="00685F16" w:rsidRPr="00E93C91" w:rsidRDefault="00685F16" w:rsidP="00685F16">
      <w:pPr>
        <w:spacing w:before="120" w:after="120" w:line="240" w:lineRule="auto"/>
        <w:ind w:firstLine="720"/>
        <w:jc w:val="both"/>
        <w:rPr>
          <w:rFonts w:ascii="Times New Roman" w:hAnsi="Times New Roman" w:cs="Times New Roman"/>
          <w:sz w:val="28"/>
          <w:szCs w:val="28"/>
          <w:lang w:val="en-GB"/>
        </w:rPr>
      </w:pPr>
      <w:r w:rsidRPr="00E93C91">
        <w:rPr>
          <w:rFonts w:ascii="Times New Roman" w:hAnsi="Times New Roman" w:cs="Times New Roman"/>
          <w:sz w:val="28"/>
          <w:szCs w:val="28"/>
          <w:lang w:val="en-GB"/>
        </w:rPr>
        <w:t>Nghị định số 115/2015/NĐ-CP ngày 11 tháng 11 năm 2015 của Chính phủ quy định chi tiết một số điều của Luật Bảo hiểm xã hội về bảo hiểm xã hội bắt buộc;</w:t>
      </w:r>
    </w:p>
    <w:p w14:paraId="3017AAE6" w14:textId="77777777" w:rsidR="007E26B2" w:rsidRPr="00E93C91" w:rsidRDefault="007E26B2" w:rsidP="007E26B2">
      <w:pPr>
        <w:spacing w:before="120" w:after="0" w:line="240" w:lineRule="auto"/>
        <w:ind w:firstLine="709"/>
        <w:jc w:val="both"/>
        <w:rPr>
          <w:rFonts w:ascii="Times New Roman" w:hAnsi="Times New Roman" w:cs="Times New Roman"/>
          <w:sz w:val="28"/>
          <w:szCs w:val="28"/>
        </w:rPr>
      </w:pPr>
      <w:r w:rsidRPr="00E93C91">
        <w:rPr>
          <w:rFonts w:ascii="Times New Roman" w:hAnsi="Times New Roman" w:cs="Times New Roman"/>
          <w:sz w:val="28"/>
          <w:szCs w:val="28"/>
          <w:lang w:val="vi-VN"/>
        </w:rPr>
        <w:t>Nghị định số 117/2016/NĐ-CP ngày 21 tháng 7 năm 2016 của Chính phủ sửa đổi bổ sung một số điều Nghị định số 204/2004/NĐ-CP ngày 14 tháng 12 năm 2004 của Chính phủ về chế độ tiền lương đối với cán bộ, công chức, viên chức và lực lượng vũ trang;</w:t>
      </w:r>
    </w:p>
    <w:p w14:paraId="1703FE31" w14:textId="77777777" w:rsidR="007E26B2" w:rsidRPr="00E93C91" w:rsidRDefault="007E26B2" w:rsidP="007E26B2">
      <w:pPr>
        <w:spacing w:before="120" w:after="0" w:line="240" w:lineRule="auto"/>
        <w:ind w:firstLine="709"/>
        <w:jc w:val="both"/>
        <w:rPr>
          <w:rFonts w:ascii="Times New Roman" w:hAnsi="Times New Roman" w:cs="Times New Roman"/>
          <w:sz w:val="28"/>
          <w:szCs w:val="28"/>
          <w:lang w:val="vi-VN"/>
        </w:rPr>
      </w:pPr>
      <w:r w:rsidRPr="00E93C91">
        <w:rPr>
          <w:rFonts w:ascii="Times New Roman" w:hAnsi="Times New Roman" w:cs="Times New Roman"/>
          <w:sz w:val="28"/>
          <w:szCs w:val="28"/>
          <w:lang w:val="vi-VN"/>
        </w:rPr>
        <w:t>Thông tư số 45/2018/TT-BTC ngày 07 tháng 5 năm 2018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0F3B5FF7" w14:textId="77777777" w:rsidR="00685F16" w:rsidRPr="00E93C91" w:rsidRDefault="00685F16" w:rsidP="00685F16">
      <w:pPr>
        <w:spacing w:before="120" w:after="120" w:line="240" w:lineRule="auto"/>
        <w:ind w:firstLine="720"/>
        <w:jc w:val="both"/>
        <w:rPr>
          <w:rFonts w:ascii="Times New Roman" w:hAnsi="Times New Roman" w:cs="Times New Roman"/>
          <w:sz w:val="28"/>
          <w:szCs w:val="28"/>
          <w:lang w:val="en-GB"/>
        </w:rPr>
      </w:pPr>
      <w:r w:rsidRPr="00E93C91">
        <w:rPr>
          <w:rFonts w:ascii="Times New Roman" w:hAnsi="Times New Roman" w:cs="Times New Roman"/>
          <w:sz w:val="28"/>
          <w:szCs w:val="28"/>
          <w:lang w:val="en-GB"/>
        </w:rPr>
        <w:t>Nghị định số 38/2019/NĐ-CP ngày 09 tháng 5 năm 2019 của Chính phủ về việc quy định mức lương cơ sở đối với cán bộ công chức, viên chức và lực lượng vũ trang (1.490.000 đồng/tháng);</w:t>
      </w:r>
    </w:p>
    <w:p w14:paraId="73DD491D" w14:textId="77777777" w:rsidR="00685F16" w:rsidRPr="00E93C91" w:rsidRDefault="00685F16" w:rsidP="00685F16">
      <w:pPr>
        <w:spacing w:before="120" w:after="120" w:line="240" w:lineRule="auto"/>
        <w:ind w:firstLine="720"/>
        <w:jc w:val="both"/>
        <w:rPr>
          <w:rFonts w:ascii="Times New Roman" w:hAnsi="Times New Roman" w:cs="Times New Roman"/>
          <w:sz w:val="28"/>
          <w:szCs w:val="28"/>
          <w:lang w:val="en-GB"/>
        </w:rPr>
      </w:pPr>
      <w:r w:rsidRPr="00E93C91">
        <w:rPr>
          <w:rFonts w:ascii="Times New Roman" w:hAnsi="Times New Roman" w:cs="Times New Roman"/>
          <w:sz w:val="28"/>
          <w:szCs w:val="28"/>
          <w:lang w:val="en-GB"/>
        </w:rPr>
        <w:lastRenderedPageBreak/>
        <w:t>Nghị định số 58/2020/NĐ-CP ngày 27 tháng 5 năm 2020 của Chính phủ quy định mức đóng bảo hiểm bảo hiểm xã hội bắt buộc vào quỹ bảo hiểm tai nạn lao động, bệnh nghề nghiệp;</w:t>
      </w:r>
    </w:p>
    <w:p w14:paraId="0B4ADB32" w14:textId="77777777" w:rsidR="00685F16" w:rsidRPr="00E93C91" w:rsidRDefault="00685F16" w:rsidP="00685F16">
      <w:pPr>
        <w:spacing w:before="120" w:after="120" w:line="240" w:lineRule="auto"/>
        <w:ind w:firstLine="720"/>
        <w:jc w:val="both"/>
        <w:rPr>
          <w:rFonts w:ascii="Times New Roman" w:hAnsi="Times New Roman" w:cs="Times New Roman"/>
          <w:sz w:val="28"/>
          <w:szCs w:val="28"/>
          <w:lang w:val="en-GB"/>
        </w:rPr>
      </w:pPr>
      <w:r w:rsidRPr="00E93C91">
        <w:rPr>
          <w:rFonts w:ascii="Times New Roman" w:hAnsi="Times New Roman" w:cs="Times New Roman"/>
          <w:sz w:val="28"/>
          <w:szCs w:val="28"/>
          <w:lang w:val="en-GB"/>
        </w:rPr>
        <w:t>Thông tư số 136/2017/TT-BTC ngày 22 tháng 12 năm 2017 của Bộ trưởng Bộ Tài chính quy định lập, quản lý, sử dụng kinh phí chi hoạt động kinh tế đối với các nhiệm vụ chi về tài nguyên môi trường;</w:t>
      </w:r>
    </w:p>
    <w:p w14:paraId="51C7B1CE" w14:textId="77777777" w:rsidR="007E26B2" w:rsidRPr="00E93C91" w:rsidRDefault="007E26B2" w:rsidP="007E26B2">
      <w:pPr>
        <w:spacing w:before="120" w:after="0" w:line="240" w:lineRule="auto"/>
        <w:ind w:firstLine="709"/>
        <w:jc w:val="both"/>
        <w:rPr>
          <w:rFonts w:ascii="Times New Roman" w:hAnsi="Times New Roman" w:cs="Times New Roman"/>
          <w:sz w:val="28"/>
          <w:szCs w:val="28"/>
        </w:rPr>
      </w:pPr>
      <w:r w:rsidRPr="00E93C91">
        <w:rPr>
          <w:rFonts w:ascii="Times New Roman" w:hAnsi="Times New Roman" w:cs="Times New Roman"/>
          <w:sz w:val="28"/>
          <w:szCs w:val="28"/>
          <w:lang w:val="vi-VN"/>
        </w:rPr>
        <w:t>Thông tư số 16/2021/TT-BTNMT ngày 27 tháng 9 năm 2021 của Bộ trưởng Bộ Tài nguyên và Môi trường quy định xây dựng định mức kinh tế - kỹ thuật thuộc phạm vi quản lý nhà nước của Bộ Tài nguyên và Môi trườ</w:t>
      </w:r>
      <w:r w:rsidR="00685F16" w:rsidRPr="00E93C91">
        <w:rPr>
          <w:rFonts w:ascii="Times New Roman" w:hAnsi="Times New Roman" w:cs="Times New Roman"/>
          <w:sz w:val="28"/>
          <w:szCs w:val="28"/>
          <w:lang w:val="vi-VN"/>
        </w:rPr>
        <w:t>ng;</w:t>
      </w:r>
    </w:p>
    <w:p w14:paraId="74FCFEDB" w14:textId="77777777" w:rsidR="001C214F" w:rsidRPr="00E93C91" w:rsidRDefault="001C214F" w:rsidP="001C214F">
      <w:pPr>
        <w:spacing w:before="120" w:after="120" w:line="240" w:lineRule="auto"/>
        <w:ind w:firstLine="720"/>
        <w:jc w:val="both"/>
        <w:rPr>
          <w:rFonts w:ascii="Times New Roman" w:hAnsi="Times New Roman" w:cs="Times New Roman"/>
          <w:sz w:val="28"/>
          <w:szCs w:val="28"/>
          <w:lang w:val="en-GB"/>
        </w:rPr>
      </w:pPr>
      <w:r w:rsidRPr="00E93C91">
        <w:rPr>
          <w:rFonts w:ascii="Times New Roman" w:hAnsi="Times New Roman" w:cs="Times New Roman"/>
          <w:sz w:val="28"/>
          <w:szCs w:val="28"/>
          <w:lang w:val="en-GB"/>
        </w:rPr>
        <w:t>Thông tư số</w:t>
      </w:r>
      <w:r w:rsidR="00685F16" w:rsidRPr="00E93C91">
        <w:rPr>
          <w:rFonts w:ascii="Times New Roman" w:hAnsi="Times New Roman" w:cs="Times New Roman"/>
          <w:sz w:val="28"/>
          <w:szCs w:val="28"/>
          <w:lang w:val="en-GB"/>
        </w:rPr>
        <w:t xml:space="preserve"> 26/2014/TT-BTNMT ngày 28 tháng </w:t>
      </w:r>
      <w:r w:rsidRPr="00E93C91">
        <w:rPr>
          <w:rFonts w:ascii="Times New Roman" w:hAnsi="Times New Roman" w:cs="Times New Roman"/>
          <w:sz w:val="28"/>
          <w:szCs w:val="28"/>
          <w:lang w:val="en-GB"/>
        </w:rPr>
        <w:t>5</w:t>
      </w:r>
      <w:r w:rsidR="00685F16" w:rsidRPr="00E93C91">
        <w:rPr>
          <w:rFonts w:ascii="Times New Roman" w:hAnsi="Times New Roman" w:cs="Times New Roman"/>
          <w:sz w:val="28"/>
          <w:szCs w:val="28"/>
          <w:lang w:val="en-GB"/>
        </w:rPr>
        <w:t xml:space="preserve"> năm </w:t>
      </w:r>
      <w:r w:rsidRPr="00E93C91">
        <w:rPr>
          <w:rFonts w:ascii="Times New Roman" w:hAnsi="Times New Roman" w:cs="Times New Roman"/>
          <w:sz w:val="28"/>
          <w:szCs w:val="28"/>
          <w:lang w:val="en-GB"/>
        </w:rPr>
        <w:t xml:space="preserve">2014 của </w:t>
      </w:r>
      <w:r w:rsidR="000812D5" w:rsidRPr="00E93C91">
        <w:rPr>
          <w:rFonts w:ascii="Times New Roman" w:hAnsi="Times New Roman" w:cs="Times New Roman"/>
          <w:sz w:val="28"/>
          <w:szCs w:val="28"/>
          <w:lang w:val="en-GB"/>
        </w:rPr>
        <w:t xml:space="preserve">Bộ trưởng </w:t>
      </w:r>
      <w:r w:rsidRPr="00E93C91">
        <w:rPr>
          <w:rFonts w:ascii="Times New Roman" w:hAnsi="Times New Roman" w:cs="Times New Roman"/>
          <w:sz w:val="28"/>
          <w:szCs w:val="28"/>
          <w:lang w:val="en-GB"/>
        </w:rPr>
        <w:t>Bộ Tài nguyên và Môi trường về việc quy định quy trình và Định mức kinh tế - kỹ thuật xây dựng cơ sở dữ liệu Tài nguyên và Môi trườ</w:t>
      </w:r>
      <w:r w:rsidR="001C665A" w:rsidRPr="00E93C91">
        <w:rPr>
          <w:rFonts w:ascii="Times New Roman" w:hAnsi="Times New Roman" w:cs="Times New Roman"/>
          <w:sz w:val="28"/>
          <w:szCs w:val="28"/>
          <w:lang w:val="en-GB"/>
        </w:rPr>
        <w:t>ng</w:t>
      </w:r>
      <w:r w:rsidR="00685F16" w:rsidRPr="00E93C91">
        <w:rPr>
          <w:rFonts w:ascii="Times New Roman" w:hAnsi="Times New Roman" w:cs="Times New Roman"/>
          <w:sz w:val="28"/>
          <w:szCs w:val="28"/>
          <w:lang w:val="en-GB"/>
        </w:rPr>
        <w:t>;</w:t>
      </w:r>
    </w:p>
    <w:p w14:paraId="28C9FB4A" w14:textId="77777777" w:rsidR="00685F16" w:rsidRPr="00E93C91" w:rsidRDefault="00685F16" w:rsidP="00685F16">
      <w:pPr>
        <w:spacing w:before="120" w:after="120" w:line="240" w:lineRule="auto"/>
        <w:ind w:firstLine="720"/>
        <w:jc w:val="both"/>
        <w:rPr>
          <w:rFonts w:ascii="Times New Roman" w:hAnsi="Times New Roman" w:cs="Times New Roman"/>
          <w:sz w:val="28"/>
          <w:szCs w:val="28"/>
          <w:lang w:val="en-GB"/>
        </w:rPr>
      </w:pPr>
      <w:r w:rsidRPr="00E93C91">
        <w:rPr>
          <w:rFonts w:ascii="Times New Roman" w:hAnsi="Times New Roman" w:cs="Times New Roman"/>
          <w:sz w:val="28"/>
          <w:szCs w:val="28"/>
          <w:lang w:val="en-GB"/>
        </w:rPr>
        <w:t>Thông tư số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w:t>
      </w:r>
      <w:r w:rsidR="000C657F" w:rsidRPr="00E93C91">
        <w:rPr>
          <w:rFonts w:ascii="Times New Roman" w:hAnsi="Times New Roman" w:cs="Times New Roman"/>
          <w:sz w:val="28"/>
          <w:szCs w:val="28"/>
          <w:lang w:val="en-GB"/>
        </w:rPr>
        <w:t>ng;</w:t>
      </w:r>
    </w:p>
    <w:p w14:paraId="67BA16BA" w14:textId="77777777" w:rsidR="000C657F" w:rsidRPr="00E93C91" w:rsidRDefault="000C657F" w:rsidP="00685F16">
      <w:pPr>
        <w:spacing w:before="120" w:after="120" w:line="240" w:lineRule="auto"/>
        <w:ind w:firstLine="720"/>
        <w:jc w:val="both"/>
        <w:rPr>
          <w:rFonts w:ascii="Times New Roman" w:hAnsi="Times New Roman" w:cs="Times New Roman"/>
          <w:sz w:val="28"/>
          <w:szCs w:val="28"/>
          <w:lang w:val="en-GB"/>
        </w:rPr>
      </w:pPr>
      <w:r w:rsidRPr="00E93C91">
        <w:rPr>
          <w:rFonts w:ascii="Times New Roman" w:hAnsi="Times New Roman" w:cs="Times New Roman"/>
          <w:sz w:val="28"/>
          <w:szCs w:val="28"/>
        </w:rPr>
        <w:t xml:space="preserve">Quyết định số </w:t>
      </w:r>
      <w:r w:rsidRPr="00E93C91">
        <w:rPr>
          <w:rFonts w:ascii="Times New Roman" w:hAnsi="Times New Roman" w:cs="Times New Roman"/>
          <w:sz w:val="28"/>
          <w:szCs w:val="28"/>
          <w:shd w:val="clear" w:color="auto" w:fill="FFFFFF"/>
        </w:rPr>
        <w:t xml:space="preserve">595/QĐ-BHXH </w:t>
      </w:r>
      <w:r w:rsidRPr="00E93C91">
        <w:rPr>
          <w:rFonts w:ascii="Times New Roman" w:hAnsi="Times New Roman" w:cs="Times New Roman"/>
          <w:iCs/>
          <w:sz w:val="28"/>
          <w:szCs w:val="28"/>
          <w:shd w:val="clear" w:color="auto" w:fill="FFFFFF"/>
        </w:rPr>
        <w:t xml:space="preserve">ngày 14 tháng 4 năm 2017 của Bảo hiểm xã hội Việt Nam </w:t>
      </w:r>
      <w:bookmarkStart w:id="1" w:name="dieu_1_name"/>
      <w:r w:rsidRPr="00E93C91">
        <w:rPr>
          <w:rFonts w:ascii="Times New Roman" w:hAnsi="Times New Roman" w:cs="Times New Roman"/>
          <w:iCs/>
          <w:sz w:val="28"/>
          <w:szCs w:val="28"/>
          <w:shd w:val="clear" w:color="auto" w:fill="FFFFFF"/>
        </w:rPr>
        <w:t>ban hành q</w:t>
      </w:r>
      <w:r w:rsidRPr="00E93C91">
        <w:rPr>
          <w:rFonts w:ascii="Times New Roman" w:hAnsi="Times New Roman" w:cs="Times New Roman"/>
          <w:sz w:val="28"/>
          <w:szCs w:val="28"/>
          <w:shd w:val="clear" w:color="auto" w:fill="FFFFFF"/>
          <w:lang w:val="en"/>
        </w:rPr>
        <w:t>uy trình thu bảo hiểm xã hội, bảo hiểm y tế, bảo hiểm thất nghiệp, bảo hiểm tai nạn lao động, bệnh nghề nghiệp; cấp sổ bảo hiểm xã hội, thẻ bảo hiểm y tế</w:t>
      </w:r>
      <w:bookmarkEnd w:id="1"/>
      <w:r w:rsidRPr="00E93C91">
        <w:rPr>
          <w:rFonts w:ascii="Times New Roman" w:hAnsi="Times New Roman" w:cs="Times New Roman"/>
          <w:sz w:val="28"/>
          <w:szCs w:val="28"/>
          <w:shd w:val="clear" w:color="auto" w:fill="FFFFFF"/>
          <w:lang w:val="en"/>
        </w:rPr>
        <w:t>.</w:t>
      </w:r>
    </w:p>
    <w:p w14:paraId="6906DD65" w14:textId="77777777" w:rsidR="00C03C95" w:rsidRPr="00E93C91" w:rsidRDefault="00C03C95" w:rsidP="001C214F">
      <w:pPr>
        <w:spacing w:before="120" w:after="120" w:line="240" w:lineRule="auto"/>
        <w:ind w:firstLine="720"/>
        <w:jc w:val="both"/>
        <w:rPr>
          <w:rFonts w:ascii="Times New Roman" w:hAnsi="Times New Roman" w:cs="Times New Roman"/>
          <w:b/>
          <w:sz w:val="28"/>
          <w:szCs w:val="28"/>
          <w:lang w:val="en-GB"/>
        </w:rPr>
      </w:pPr>
      <w:r w:rsidRPr="00E93C91">
        <w:rPr>
          <w:rFonts w:ascii="Times New Roman" w:hAnsi="Times New Roman" w:cs="Times New Roman"/>
          <w:b/>
          <w:sz w:val="28"/>
          <w:szCs w:val="28"/>
          <w:lang w:val="en-GB"/>
        </w:rPr>
        <w:t>II. THUYẾT MINH PHƯƠNG PHÁP TÍNH</w:t>
      </w:r>
    </w:p>
    <w:p w14:paraId="4768673F" w14:textId="77777777" w:rsidR="00C03C95" w:rsidRPr="00E93C91" w:rsidRDefault="001C665A" w:rsidP="001C214F">
      <w:pPr>
        <w:spacing w:before="120" w:after="120" w:line="240" w:lineRule="auto"/>
        <w:ind w:firstLine="720"/>
        <w:jc w:val="both"/>
        <w:rPr>
          <w:rFonts w:ascii="Times New Roman" w:hAnsi="Times New Roman" w:cs="Times New Roman"/>
          <w:b/>
          <w:sz w:val="28"/>
          <w:szCs w:val="28"/>
          <w:lang w:val="en-GB"/>
        </w:rPr>
      </w:pPr>
      <w:r w:rsidRPr="00E93C91">
        <w:rPr>
          <w:rFonts w:ascii="Times New Roman" w:hAnsi="Times New Roman" w:cs="Times New Roman"/>
          <w:b/>
          <w:sz w:val="28"/>
          <w:szCs w:val="28"/>
          <w:lang w:val="en-GB"/>
        </w:rPr>
        <w:t>1. Nội dung đơn giá:</w:t>
      </w:r>
    </w:p>
    <w:p w14:paraId="0B4DC9E3" w14:textId="77777777" w:rsidR="001C665A" w:rsidRPr="00E93C91" w:rsidRDefault="009D2517" w:rsidP="009D2517">
      <w:pPr>
        <w:spacing w:after="0" w:line="240" w:lineRule="auto"/>
        <w:jc w:val="both"/>
        <w:rPr>
          <w:rFonts w:ascii="Times New Roman" w:hAnsi="Times New Roman" w:cs="Times New Roman"/>
          <w:sz w:val="28"/>
          <w:szCs w:val="28"/>
          <w:lang w:val="en-GB"/>
        </w:rPr>
      </w:pPr>
      <w:r w:rsidRPr="00E93C91">
        <w:rPr>
          <w:rFonts w:ascii="Times New Roman" w:hAnsi="Times New Roman" w:cs="Times New Roman"/>
          <w:sz w:val="28"/>
          <w:szCs w:val="28"/>
          <w:lang w:val="en-GB"/>
        </w:rPr>
        <w:tab/>
      </w:r>
      <w:r w:rsidR="0083640F" w:rsidRPr="00E93C91">
        <w:rPr>
          <w:rFonts w:ascii="Times New Roman" w:hAnsi="Times New Roman" w:cs="Times New Roman"/>
          <w:sz w:val="28"/>
          <w:szCs w:val="28"/>
          <w:lang w:val="en-GB"/>
        </w:rPr>
        <w:t>Đ</w:t>
      </w:r>
      <w:r w:rsidR="001C665A" w:rsidRPr="00E93C91">
        <w:rPr>
          <w:rFonts w:ascii="Times New Roman" w:hAnsi="Times New Roman" w:cs="Times New Roman"/>
          <w:sz w:val="28"/>
          <w:szCs w:val="28"/>
          <w:lang w:val="en-GB"/>
        </w:rPr>
        <w:t xml:space="preserve">ơn giá cho </w:t>
      </w:r>
      <w:r w:rsidRPr="00E93C91">
        <w:rPr>
          <w:rFonts w:ascii="Times New Roman" w:hAnsi="Times New Roman" w:cs="Times New Roman"/>
          <w:sz w:val="28"/>
          <w:szCs w:val="28"/>
          <w:lang w:val="en-GB"/>
        </w:rPr>
        <w:t>hoạt động thu nhận, lưu trữ, bảo quản và cung cấp thông tin, dữ liệu tài nguyên và môi trường trên địa bàn tỉnh trà vinh</w:t>
      </w:r>
      <w:r w:rsidR="001C665A" w:rsidRPr="00E93C91">
        <w:rPr>
          <w:rFonts w:ascii="Times New Roman" w:hAnsi="Times New Roman" w:cs="Times New Roman"/>
          <w:sz w:val="28"/>
          <w:szCs w:val="28"/>
          <w:lang w:val="en-GB"/>
        </w:rPr>
        <w:t xml:space="preserve"> bao gồm:</w:t>
      </w:r>
    </w:p>
    <w:p w14:paraId="4246AF74" w14:textId="77777777" w:rsidR="00BA708C" w:rsidRPr="00E93C91" w:rsidRDefault="00BA708C" w:rsidP="00BA708C">
      <w:pPr>
        <w:spacing w:before="120" w:after="0" w:line="240" w:lineRule="auto"/>
        <w:ind w:firstLine="709"/>
        <w:jc w:val="both"/>
        <w:rPr>
          <w:rFonts w:ascii="Times New Roman" w:hAnsi="Times New Roman" w:cs="Times New Roman"/>
          <w:sz w:val="28"/>
          <w:szCs w:val="28"/>
        </w:rPr>
      </w:pPr>
      <w:r w:rsidRPr="00E93C91">
        <w:rPr>
          <w:rFonts w:ascii="Times New Roman" w:hAnsi="Times New Roman" w:cs="Times New Roman"/>
          <w:sz w:val="28"/>
          <w:szCs w:val="28"/>
          <w:lang w:val="vi-VN"/>
        </w:rPr>
        <w:t xml:space="preserve">1. </w:t>
      </w:r>
      <w:r w:rsidRPr="00E93C91">
        <w:rPr>
          <w:rFonts w:ascii="Times New Roman" w:hAnsi="Times New Roman" w:cs="Times New Roman"/>
          <w:sz w:val="28"/>
          <w:szCs w:val="28"/>
        </w:rPr>
        <w:t>Đơn giá c</w:t>
      </w:r>
      <w:r w:rsidRPr="00E93C91">
        <w:rPr>
          <w:rFonts w:ascii="Times New Roman" w:hAnsi="Times New Roman" w:cs="Times New Roman"/>
          <w:sz w:val="28"/>
          <w:szCs w:val="28"/>
          <w:lang w:val="vi-VN"/>
        </w:rPr>
        <w:t>ông tác thu nhận thông tin, dữ liệu tài nguyên và môi trường bao gồm:</w:t>
      </w:r>
      <w:r w:rsidRPr="00E93C91">
        <w:rPr>
          <w:rFonts w:ascii="Times New Roman" w:hAnsi="Times New Roman" w:cs="Times New Roman"/>
          <w:sz w:val="28"/>
          <w:szCs w:val="28"/>
        </w:rPr>
        <w:t xml:space="preserve"> </w:t>
      </w:r>
      <w:r w:rsidRPr="00E93C91">
        <w:rPr>
          <w:rFonts w:ascii="Times New Roman" w:hAnsi="Times New Roman" w:cs="Times New Roman"/>
          <w:sz w:val="28"/>
          <w:szCs w:val="28"/>
          <w:lang w:val="vi-VN"/>
        </w:rPr>
        <w:t>Thu thập thông tin, dữ liệu tài nguyên và môi trường; Tiếp nhận thông tin, dữ liệu tài nguyên và môi trường.</w:t>
      </w:r>
    </w:p>
    <w:p w14:paraId="2CC5D281" w14:textId="77777777" w:rsidR="00BA708C" w:rsidRPr="00E93C91" w:rsidRDefault="00BA708C" w:rsidP="00BA708C">
      <w:pPr>
        <w:spacing w:before="120" w:after="0" w:line="240" w:lineRule="auto"/>
        <w:ind w:firstLine="709"/>
        <w:jc w:val="both"/>
        <w:rPr>
          <w:rFonts w:ascii="Times New Roman" w:hAnsi="Times New Roman" w:cs="Times New Roman"/>
          <w:sz w:val="28"/>
          <w:szCs w:val="28"/>
        </w:rPr>
      </w:pPr>
      <w:r w:rsidRPr="00E93C91">
        <w:rPr>
          <w:rFonts w:ascii="Times New Roman" w:hAnsi="Times New Roman" w:cs="Times New Roman"/>
          <w:sz w:val="28"/>
          <w:szCs w:val="28"/>
          <w:lang w:val="vi-VN"/>
        </w:rPr>
        <w:t xml:space="preserve">2. </w:t>
      </w:r>
      <w:r w:rsidRPr="00E93C91">
        <w:rPr>
          <w:rFonts w:ascii="Times New Roman" w:hAnsi="Times New Roman" w:cs="Times New Roman"/>
          <w:sz w:val="28"/>
          <w:szCs w:val="28"/>
        </w:rPr>
        <w:t>Đơn giá c</w:t>
      </w:r>
      <w:r w:rsidRPr="00E93C91">
        <w:rPr>
          <w:rFonts w:ascii="Times New Roman" w:hAnsi="Times New Roman" w:cs="Times New Roman"/>
          <w:sz w:val="28"/>
          <w:szCs w:val="28"/>
          <w:lang w:val="vi-VN"/>
        </w:rPr>
        <w:t>ông tác lưu trữ và bảo quản thông tin, dữ liệu tài nguyên và môi trường bao gồm: Chỉnh lý tài liệu lưu trữ dạng giấy; Tổ chức, lưu trữ tài liệu số; Bảo quản kho lưu trữ tài liệu; Bảo quản tài liệu lưu trữ dạng giấy; Bảo quản tài liệu số; Tu bổ, phục chế tài liệu lưu trữ dạng giấy; Xây dựng cơ sở dữ liệu tài liệu lưu trữ điện tử; Tiêu hủy tài liệu lưu trữ hết giá trị.</w:t>
      </w:r>
    </w:p>
    <w:p w14:paraId="3C295EC7" w14:textId="77777777" w:rsidR="00BA708C" w:rsidRPr="00E93C91" w:rsidRDefault="00BA708C" w:rsidP="00BA708C">
      <w:pPr>
        <w:spacing w:before="120" w:after="0" w:line="240" w:lineRule="auto"/>
        <w:ind w:firstLine="709"/>
        <w:jc w:val="both"/>
        <w:rPr>
          <w:rFonts w:ascii="Times New Roman" w:hAnsi="Times New Roman" w:cs="Times New Roman"/>
          <w:sz w:val="28"/>
          <w:szCs w:val="28"/>
        </w:rPr>
      </w:pPr>
      <w:r w:rsidRPr="00E93C91">
        <w:rPr>
          <w:rFonts w:ascii="Times New Roman" w:hAnsi="Times New Roman" w:cs="Times New Roman"/>
          <w:sz w:val="28"/>
          <w:szCs w:val="28"/>
          <w:lang w:val="vi-VN"/>
        </w:rPr>
        <w:t xml:space="preserve">3. </w:t>
      </w:r>
      <w:r w:rsidRPr="00E93C91">
        <w:rPr>
          <w:rFonts w:ascii="Times New Roman" w:hAnsi="Times New Roman" w:cs="Times New Roman"/>
          <w:sz w:val="28"/>
          <w:szCs w:val="28"/>
        </w:rPr>
        <w:t>Đơn giá c</w:t>
      </w:r>
      <w:r w:rsidRPr="00E93C91">
        <w:rPr>
          <w:rFonts w:ascii="Times New Roman" w:hAnsi="Times New Roman" w:cs="Times New Roman"/>
          <w:sz w:val="28"/>
          <w:szCs w:val="28"/>
          <w:lang w:val="vi-VN"/>
        </w:rPr>
        <w:t>ông tác cung cấp thông tin, dữ liệu tài nguyên và môi trường bao gồm: Cung cấp theo hình thức trực tiếp tại đơn vị quản lý hoặc qua dịch vụ bưu chính; Cung cấp theo hình thức trực tuyến trên môi trường điện tử; Công bố danh mục thông tin, dữ liệu tài nguyên và môi trường.</w:t>
      </w:r>
    </w:p>
    <w:p w14:paraId="1A25CFD0" w14:textId="77777777" w:rsidR="00E2624F" w:rsidRPr="00E93C91" w:rsidRDefault="00E2624F" w:rsidP="00E2624F">
      <w:pPr>
        <w:spacing w:before="120" w:after="120" w:line="240" w:lineRule="auto"/>
        <w:ind w:firstLine="720"/>
        <w:jc w:val="both"/>
        <w:rPr>
          <w:rFonts w:ascii="Times New Roman" w:hAnsi="Times New Roman" w:cs="Times New Roman"/>
          <w:b/>
          <w:sz w:val="28"/>
          <w:szCs w:val="28"/>
          <w:lang w:val="en-GB"/>
        </w:rPr>
      </w:pPr>
      <w:r w:rsidRPr="00E93C91">
        <w:rPr>
          <w:rFonts w:ascii="Times New Roman" w:hAnsi="Times New Roman" w:cs="Times New Roman"/>
          <w:b/>
          <w:sz w:val="28"/>
          <w:szCs w:val="28"/>
          <w:lang w:val="en-GB"/>
        </w:rPr>
        <w:t>2. Cơ cấu, thành phần của đơn giá:</w:t>
      </w:r>
    </w:p>
    <w:p w14:paraId="37A21809" w14:textId="77777777" w:rsidR="00E2624F" w:rsidRPr="00E93C91" w:rsidRDefault="00E2624F" w:rsidP="00E2624F">
      <w:pPr>
        <w:spacing w:before="120" w:after="12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Cơ cấu, thành phần đơn giá được xây dựng theo hướng dẫn tại Phụ lục số 02 - Dự toán chi phí thực hiện nhiệm vụ, dự án (hoặc hạng mục công việc của nhiệm vụ, dự án) có định mức kinh tế - kỹ thuật của Thông tư 136/2017/TT-BTC.</w:t>
      </w:r>
    </w:p>
    <w:tbl>
      <w:tblPr>
        <w:tblStyle w:val="TableGrid"/>
        <w:tblW w:w="9072" w:type="dxa"/>
        <w:tblInd w:w="137" w:type="dxa"/>
        <w:tblLook w:val="04A0" w:firstRow="1" w:lastRow="0" w:firstColumn="1" w:lastColumn="0" w:noHBand="0" w:noVBand="1"/>
      </w:tblPr>
      <w:tblGrid>
        <w:gridCol w:w="770"/>
        <w:gridCol w:w="5751"/>
        <w:gridCol w:w="2551"/>
      </w:tblGrid>
      <w:tr w:rsidR="00E93C91" w:rsidRPr="00E93C91" w14:paraId="096A5C63" w14:textId="77777777" w:rsidTr="00433044">
        <w:trPr>
          <w:tblHeader/>
        </w:trPr>
        <w:tc>
          <w:tcPr>
            <w:tcW w:w="770" w:type="dxa"/>
            <w:vAlign w:val="center"/>
          </w:tcPr>
          <w:p w14:paraId="6080D0F5" w14:textId="77777777" w:rsidR="00DA7E4D" w:rsidRPr="00E93C91" w:rsidRDefault="00DA7E4D" w:rsidP="00443232">
            <w:pPr>
              <w:spacing w:before="60" w:after="60"/>
              <w:jc w:val="center"/>
              <w:rPr>
                <w:rFonts w:ascii="Times New Roman" w:hAnsi="Times New Roman" w:cs="Times New Roman"/>
                <w:b/>
                <w:sz w:val="28"/>
                <w:szCs w:val="28"/>
              </w:rPr>
            </w:pPr>
            <w:r w:rsidRPr="00E93C91">
              <w:rPr>
                <w:rFonts w:ascii="Times New Roman" w:hAnsi="Times New Roman" w:cs="Times New Roman"/>
                <w:b/>
                <w:sz w:val="28"/>
                <w:szCs w:val="28"/>
              </w:rPr>
              <w:lastRenderedPageBreak/>
              <w:t>TT</w:t>
            </w:r>
          </w:p>
        </w:tc>
        <w:tc>
          <w:tcPr>
            <w:tcW w:w="5751" w:type="dxa"/>
            <w:vAlign w:val="center"/>
          </w:tcPr>
          <w:p w14:paraId="48DD2FFA" w14:textId="77777777" w:rsidR="00DA7E4D" w:rsidRPr="00E93C91" w:rsidRDefault="00DA7E4D" w:rsidP="00443232">
            <w:pPr>
              <w:spacing w:before="60" w:after="60"/>
              <w:jc w:val="center"/>
              <w:rPr>
                <w:rFonts w:ascii="Times New Roman" w:hAnsi="Times New Roman" w:cs="Times New Roman"/>
                <w:b/>
                <w:sz w:val="28"/>
                <w:szCs w:val="28"/>
              </w:rPr>
            </w:pPr>
            <w:r w:rsidRPr="00E93C91">
              <w:rPr>
                <w:rFonts w:ascii="Times New Roman" w:hAnsi="Times New Roman" w:cs="Times New Roman"/>
                <w:b/>
                <w:sz w:val="28"/>
                <w:szCs w:val="28"/>
              </w:rPr>
              <w:t>Thành phần đơn giá</w:t>
            </w:r>
          </w:p>
        </w:tc>
        <w:tc>
          <w:tcPr>
            <w:tcW w:w="2551" w:type="dxa"/>
            <w:vAlign w:val="center"/>
          </w:tcPr>
          <w:p w14:paraId="68867604" w14:textId="77777777" w:rsidR="00DA7E4D" w:rsidRPr="00E93C91" w:rsidRDefault="00DA7E4D" w:rsidP="00443232">
            <w:pPr>
              <w:spacing w:before="60" w:after="60"/>
              <w:jc w:val="center"/>
              <w:rPr>
                <w:rFonts w:ascii="Times New Roman" w:hAnsi="Times New Roman" w:cs="Times New Roman"/>
                <w:b/>
                <w:sz w:val="28"/>
                <w:szCs w:val="28"/>
              </w:rPr>
            </w:pPr>
            <w:r w:rsidRPr="00E93C91">
              <w:rPr>
                <w:rFonts w:ascii="Times New Roman" w:hAnsi="Times New Roman" w:cs="Times New Roman"/>
                <w:b/>
                <w:sz w:val="28"/>
                <w:szCs w:val="28"/>
              </w:rPr>
              <w:t>Cách tính</w:t>
            </w:r>
          </w:p>
        </w:tc>
      </w:tr>
      <w:tr w:rsidR="00E93C91" w:rsidRPr="00E93C91" w14:paraId="42B25C8A" w14:textId="77777777" w:rsidTr="00443232">
        <w:tc>
          <w:tcPr>
            <w:tcW w:w="770" w:type="dxa"/>
            <w:vAlign w:val="center"/>
          </w:tcPr>
          <w:p w14:paraId="5066E8C7" w14:textId="77777777" w:rsidR="00DA7E4D" w:rsidRPr="00E93C91" w:rsidRDefault="00DA7E4D" w:rsidP="00443232">
            <w:pPr>
              <w:spacing w:before="60" w:after="60"/>
              <w:jc w:val="center"/>
              <w:rPr>
                <w:rFonts w:ascii="Times New Roman" w:hAnsi="Times New Roman" w:cs="Times New Roman"/>
                <w:b/>
                <w:sz w:val="28"/>
                <w:szCs w:val="28"/>
              </w:rPr>
            </w:pPr>
            <w:r w:rsidRPr="00E93C91">
              <w:rPr>
                <w:rFonts w:ascii="Times New Roman" w:hAnsi="Times New Roman" w:cs="Times New Roman"/>
                <w:b/>
                <w:sz w:val="28"/>
                <w:szCs w:val="28"/>
              </w:rPr>
              <w:t>I</w:t>
            </w:r>
          </w:p>
        </w:tc>
        <w:tc>
          <w:tcPr>
            <w:tcW w:w="5751" w:type="dxa"/>
            <w:vAlign w:val="center"/>
          </w:tcPr>
          <w:p w14:paraId="16FCF795" w14:textId="77777777" w:rsidR="00DA7E4D" w:rsidRPr="00E93C91" w:rsidRDefault="00DA7E4D" w:rsidP="00443232">
            <w:pPr>
              <w:spacing w:before="60" w:after="60"/>
              <w:rPr>
                <w:rFonts w:ascii="Times New Roman" w:hAnsi="Times New Roman" w:cs="Times New Roman"/>
                <w:b/>
                <w:sz w:val="28"/>
                <w:szCs w:val="28"/>
              </w:rPr>
            </w:pPr>
            <w:r w:rsidRPr="00E93C91">
              <w:rPr>
                <w:rFonts w:ascii="Times New Roman" w:hAnsi="Times New Roman" w:cs="Times New Roman"/>
                <w:b/>
                <w:sz w:val="28"/>
                <w:szCs w:val="28"/>
              </w:rPr>
              <w:t>Chi phí trực tiếp</w:t>
            </w:r>
          </w:p>
        </w:tc>
        <w:tc>
          <w:tcPr>
            <w:tcW w:w="2551" w:type="dxa"/>
            <w:vAlign w:val="center"/>
          </w:tcPr>
          <w:p w14:paraId="01B2C814" w14:textId="77777777" w:rsidR="00DA7E4D" w:rsidRPr="00E93C91" w:rsidRDefault="00DA7E4D" w:rsidP="00443232">
            <w:pPr>
              <w:spacing w:before="60" w:after="60"/>
              <w:jc w:val="center"/>
              <w:rPr>
                <w:rFonts w:ascii="Times New Roman" w:hAnsi="Times New Roman" w:cs="Times New Roman"/>
                <w:b/>
                <w:sz w:val="28"/>
                <w:szCs w:val="28"/>
              </w:rPr>
            </w:pPr>
            <w:r w:rsidRPr="00E93C91">
              <w:rPr>
                <w:rFonts w:ascii="Times New Roman" w:hAnsi="Times New Roman" w:cs="Times New Roman"/>
                <w:b/>
                <w:sz w:val="28"/>
                <w:szCs w:val="28"/>
              </w:rPr>
              <w:t>1+ 2 + 3+ 4</w:t>
            </w:r>
          </w:p>
        </w:tc>
      </w:tr>
      <w:tr w:rsidR="00E93C91" w:rsidRPr="00E93C91" w14:paraId="3AB8031B" w14:textId="77777777" w:rsidTr="00443232">
        <w:tc>
          <w:tcPr>
            <w:tcW w:w="770" w:type="dxa"/>
            <w:vAlign w:val="center"/>
          </w:tcPr>
          <w:p w14:paraId="4F94F998" w14:textId="77777777" w:rsidR="00DA7E4D" w:rsidRPr="00E93C91" w:rsidRDefault="00DA7E4D" w:rsidP="00443232">
            <w:pPr>
              <w:spacing w:before="60" w:after="60"/>
              <w:jc w:val="center"/>
              <w:rPr>
                <w:rFonts w:ascii="Times New Roman" w:hAnsi="Times New Roman" w:cs="Times New Roman"/>
                <w:sz w:val="28"/>
                <w:szCs w:val="28"/>
              </w:rPr>
            </w:pPr>
            <w:r w:rsidRPr="00E93C91">
              <w:rPr>
                <w:rFonts w:ascii="Times New Roman" w:hAnsi="Times New Roman" w:cs="Times New Roman"/>
                <w:sz w:val="28"/>
                <w:szCs w:val="28"/>
              </w:rPr>
              <w:t>1</w:t>
            </w:r>
          </w:p>
        </w:tc>
        <w:tc>
          <w:tcPr>
            <w:tcW w:w="5751" w:type="dxa"/>
            <w:vAlign w:val="center"/>
          </w:tcPr>
          <w:p w14:paraId="2138166F" w14:textId="77777777" w:rsidR="00DA7E4D" w:rsidRPr="00E93C91" w:rsidRDefault="00DA7E4D" w:rsidP="00443232">
            <w:pPr>
              <w:spacing w:before="60" w:after="60"/>
              <w:rPr>
                <w:rFonts w:ascii="Times New Roman" w:hAnsi="Times New Roman" w:cs="Times New Roman"/>
                <w:sz w:val="28"/>
                <w:szCs w:val="28"/>
              </w:rPr>
            </w:pPr>
            <w:r w:rsidRPr="00E93C91">
              <w:rPr>
                <w:rFonts w:ascii="Times New Roman" w:hAnsi="Times New Roman" w:cs="Times New Roman"/>
                <w:sz w:val="28"/>
                <w:szCs w:val="28"/>
              </w:rPr>
              <w:t>Chi phí lao động kỹ thuật</w:t>
            </w:r>
          </w:p>
        </w:tc>
        <w:tc>
          <w:tcPr>
            <w:tcW w:w="2551" w:type="dxa"/>
            <w:vAlign w:val="center"/>
          </w:tcPr>
          <w:p w14:paraId="7FC16E79" w14:textId="77777777" w:rsidR="00DA7E4D" w:rsidRPr="00E93C91" w:rsidRDefault="00DA7E4D" w:rsidP="00443232">
            <w:pPr>
              <w:spacing w:before="60" w:after="60"/>
              <w:jc w:val="center"/>
              <w:rPr>
                <w:rFonts w:ascii="Times New Roman" w:hAnsi="Times New Roman" w:cs="Times New Roman"/>
                <w:sz w:val="28"/>
                <w:szCs w:val="28"/>
              </w:rPr>
            </w:pPr>
            <w:r w:rsidRPr="00E93C91">
              <w:rPr>
                <w:rFonts w:ascii="Times New Roman" w:hAnsi="Times New Roman" w:cs="Times New Roman"/>
                <w:sz w:val="28"/>
                <w:szCs w:val="28"/>
              </w:rPr>
              <w:t>1</w:t>
            </w:r>
          </w:p>
        </w:tc>
      </w:tr>
      <w:tr w:rsidR="00E93C91" w:rsidRPr="00E93C91" w14:paraId="5404C0E3" w14:textId="77777777" w:rsidTr="00443232">
        <w:tc>
          <w:tcPr>
            <w:tcW w:w="770" w:type="dxa"/>
            <w:vAlign w:val="center"/>
          </w:tcPr>
          <w:p w14:paraId="405BF30F" w14:textId="77777777" w:rsidR="00DA7E4D" w:rsidRPr="00E93C91" w:rsidRDefault="00DA7E4D" w:rsidP="00443232">
            <w:pPr>
              <w:spacing w:before="60" w:after="60"/>
              <w:jc w:val="center"/>
              <w:rPr>
                <w:rFonts w:ascii="Times New Roman" w:hAnsi="Times New Roman" w:cs="Times New Roman"/>
                <w:sz w:val="28"/>
                <w:szCs w:val="28"/>
              </w:rPr>
            </w:pPr>
            <w:r w:rsidRPr="00E93C91">
              <w:rPr>
                <w:rFonts w:ascii="Times New Roman" w:hAnsi="Times New Roman" w:cs="Times New Roman"/>
                <w:sz w:val="28"/>
                <w:szCs w:val="28"/>
              </w:rPr>
              <w:t>2</w:t>
            </w:r>
          </w:p>
        </w:tc>
        <w:tc>
          <w:tcPr>
            <w:tcW w:w="5751" w:type="dxa"/>
            <w:vAlign w:val="center"/>
          </w:tcPr>
          <w:p w14:paraId="22884E88" w14:textId="77777777" w:rsidR="00DA7E4D" w:rsidRPr="00E93C91" w:rsidRDefault="00DA7E4D" w:rsidP="00443232">
            <w:pPr>
              <w:spacing w:before="60" w:after="60"/>
              <w:rPr>
                <w:rFonts w:ascii="Times New Roman" w:hAnsi="Times New Roman" w:cs="Times New Roman"/>
                <w:sz w:val="28"/>
                <w:szCs w:val="28"/>
              </w:rPr>
            </w:pPr>
            <w:r w:rsidRPr="00E93C91">
              <w:rPr>
                <w:rFonts w:ascii="Times New Roman" w:hAnsi="Times New Roman" w:cs="Times New Roman"/>
                <w:sz w:val="28"/>
                <w:szCs w:val="28"/>
              </w:rPr>
              <w:t>Chi phí dụng cụ</w:t>
            </w:r>
          </w:p>
        </w:tc>
        <w:tc>
          <w:tcPr>
            <w:tcW w:w="2551" w:type="dxa"/>
            <w:vAlign w:val="center"/>
          </w:tcPr>
          <w:p w14:paraId="62398734" w14:textId="77777777" w:rsidR="00DA7E4D" w:rsidRPr="00E93C91" w:rsidRDefault="00DA7E4D" w:rsidP="00443232">
            <w:pPr>
              <w:spacing w:before="60" w:after="60"/>
              <w:jc w:val="center"/>
              <w:rPr>
                <w:rFonts w:ascii="Times New Roman" w:hAnsi="Times New Roman" w:cs="Times New Roman"/>
                <w:sz w:val="28"/>
                <w:szCs w:val="28"/>
              </w:rPr>
            </w:pPr>
            <w:r w:rsidRPr="00E93C91">
              <w:rPr>
                <w:rFonts w:ascii="Times New Roman" w:hAnsi="Times New Roman" w:cs="Times New Roman"/>
                <w:sz w:val="28"/>
                <w:szCs w:val="28"/>
              </w:rPr>
              <w:t>2.a + 2.b</w:t>
            </w:r>
          </w:p>
        </w:tc>
      </w:tr>
      <w:tr w:rsidR="00E93C91" w:rsidRPr="00E93C91" w14:paraId="659CAADD" w14:textId="77777777" w:rsidTr="00443232">
        <w:tc>
          <w:tcPr>
            <w:tcW w:w="770" w:type="dxa"/>
            <w:vAlign w:val="center"/>
          </w:tcPr>
          <w:p w14:paraId="5568ACFD" w14:textId="77777777" w:rsidR="00DA7E4D" w:rsidRPr="00E93C91" w:rsidRDefault="00DA7E4D" w:rsidP="00443232">
            <w:pPr>
              <w:spacing w:before="60" w:after="60"/>
              <w:jc w:val="center"/>
              <w:rPr>
                <w:rFonts w:ascii="Times New Roman" w:hAnsi="Times New Roman" w:cs="Times New Roman"/>
                <w:i/>
                <w:sz w:val="28"/>
                <w:szCs w:val="28"/>
              </w:rPr>
            </w:pPr>
            <w:r w:rsidRPr="00E93C91">
              <w:rPr>
                <w:rFonts w:ascii="Times New Roman" w:hAnsi="Times New Roman" w:cs="Times New Roman"/>
                <w:i/>
                <w:sz w:val="28"/>
                <w:szCs w:val="28"/>
              </w:rPr>
              <w:t>2.a</w:t>
            </w:r>
          </w:p>
        </w:tc>
        <w:tc>
          <w:tcPr>
            <w:tcW w:w="5751" w:type="dxa"/>
            <w:vAlign w:val="center"/>
          </w:tcPr>
          <w:p w14:paraId="2BC14EA9" w14:textId="77777777" w:rsidR="00DA7E4D" w:rsidRPr="00E93C91" w:rsidRDefault="00DA7E4D" w:rsidP="00443232">
            <w:pPr>
              <w:spacing w:before="60" w:after="60"/>
              <w:rPr>
                <w:rFonts w:ascii="Times New Roman" w:hAnsi="Times New Roman" w:cs="Times New Roman"/>
                <w:i/>
                <w:sz w:val="28"/>
                <w:szCs w:val="28"/>
              </w:rPr>
            </w:pPr>
            <w:r w:rsidRPr="00E93C91">
              <w:rPr>
                <w:rFonts w:ascii="Times New Roman" w:hAnsi="Times New Roman" w:cs="Times New Roman"/>
                <w:i/>
                <w:sz w:val="28"/>
                <w:szCs w:val="28"/>
              </w:rPr>
              <w:t>Chi phí sử dụng dụng cụ</w:t>
            </w:r>
          </w:p>
        </w:tc>
        <w:tc>
          <w:tcPr>
            <w:tcW w:w="2551" w:type="dxa"/>
            <w:vAlign w:val="center"/>
          </w:tcPr>
          <w:p w14:paraId="31F380B0" w14:textId="77777777" w:rsidR="00DA7E4D" w:rsidRPr="00E93C91" w:rsidRDefault="00DA7E4D" w:rsidP="00443232">
            <w:pPr>
              <w:spacing w:before="60" w:after="60"/>
              <w:jc w:val="center"/>
              <w:rPr>
                <w:rFonts w:ascii="Times New Roman" w:hAnsi="Times New Roman" w:cs="Times New Roman"/>
                <w:i/>
                <w:sz w:val="28"/>
                <w:szCs w:val="28"/>
              </w:rPr>
            </w:pPr>
            <w:r w:rsidRPr="00E93C91">
              <w:rPr>
                <w:rFonts w:ascii="Times New Roman" w:hAnsi="Times New Roman" w:cs="Times New Roman"/>
                <w:i/>
                <w:sz w:val="28"/>
                <w:szCs w:val="28"/>
              </w:rPr>
              <w:t>2.a</w:t>
            </w:r>
          </w:p>
        </w:tc>
      </w:tr>
      <w:tr w:rsidR="00E93C91" w:rsidRPr="00E93C91" w14:paraId="415FA0BC" w14:textId="77777777" w:rsidTr="00443232">
        <w:tc>
          <w:tcPr>
            <w:tcW w:w="770" w:type="dxa"/>
            <w:vAlign w:val="center"/>
          </w:tcPr>
          <w:p w14:paraId="4653D2B3" w14:textId="77777777" w:rsidR="00DA7E4D" w:rsidRPr="00E93C91" w:rsidRDefault="00DA7E4D" w:rsidP="00443232">
            <w:pPr>
              <w:spacing w:before="60" w:after="60"/>
              <w:jc w:val="center"/>
              <w:rPr>
                <w:rFonts w:ascii="Times New Roman" w:hAnsi="Times New Roman" w:cs="Times New Roman"/>
                <w:i/>
                <w:sz w:val="28"/>
                <w:szCs w:val="28"/>
              </w:rPr>
            </w:pPr>
            <w:r w:rsidRPr="00E93C91">
              <w:rPr>
                <w:rFonts w:ascii="Times New Roman" w:hAnsi="Times New Roman" w:cs="Times New Roman"/>
                <w:i/>
                <w:sz w:val="28"/>
                <w:szCs w:val="28"/>
              </w:rPr>
              <w:t>2.b</w:t>
            </w:r>
          </w:p>
        </w:tc>
        <w:tc>
          <w:tcPr>
            <w:tcW w:w="5751" w:type="dxa"/>
            <w:vAlign w:val="center"/>
          </w:tcPr>
          <w:p w14:paraId="18C704E1" w14:textId="77777777" w:rsidR="00DA7E4D" w:rsidRPr="00E93C91" w:rsidRDefault="00DA7E4D" w:rsidP="00443232">
            <w:pPr>
              <w:spacing w:before="60" w:after="60"/>
              <w:rPr>
                <w:rFonts w:ascii="Times New Roman" w:hAnsi="Times New Roman" w:cs="Times New Roman"/>
                <w:i/>
                <w:sz w:val="28"/>
                <w:szCs w:val="28"/>
              </w:rPr>
            </w:pPr>
            <w:r w:rsidRPr="00E93C91">
              <w:rPr>
                <w:rFonts w:ascii="Times New Roman" w:hAnsi="Times New Roman" w:cs="Times New Roman"/>
                <w:i/>
                <w:sz w:val="28"/>
                <w:szCs w:val="28"/>
              </w:rPr>
              <w:t>Chi phí điện năng tiêu thụ của dụng cụ</w:t>
            </w:r>
          </w:p>
        </w:tc>
        <w:tc>
          <w:tcPr>
            <w:tcW w:w="2551" w:type="dxa"/>
            <w:vAlign w:val="center"/>
          </w:tcPr>
          <w:p w14:paraId="2612FC23" w14:textId="77777777" w:rsidR="00DA7E4D" w:rsidRPr="00E93C91" w:rsidRDefault="00DA7E4D" w:rsidP="00443232">
            <w:pPr>
              <w:spacing w:before="60" w:after="60"/>
              <w:jc w:val="center"/>
              <w:rPr>
                <w:rFonts w:ascii="Times New Roman" w:hAnsi="Times New Roman" w:cs="Times New Roman"/>
                <w:i/>
                <w:sz w:val="28"/>
                <w:szCs w:val="28"/>
              </w:rPr>
            </w:pPr>
            <w:r w:rsidRPr="00E93C91">
              <w:rPr>
                <w:rFonts w:ascii="Times New Roman" w:hAnsi="Times New Roman" w:cs="Times New Roman"/>
                <w:i/>
                <w:sz w:val="28"/>
                <w:szCs w:val="28"/>
              </w:rPr>
              <w:t>2.b</w:t>
            </w:r>
          </w:p>
        </w:tc>
      </w:tr>
      <w:tr w:rsidR="00E93C91" w:rsidRPr="00E93C91" w14:paraId="5153E0CF" w14:textId="77777777" w:rsidTr="00443232">
        <w:tc>
          <w:tcPr>
            <w:tcW w:w="770" w:type="dxa"/>
            <w:vAlign w:val="center"/>
          </w:tcPr>
          <w:p w14:paraId="0CA613DB" w14:textId="77777777" w:rsidR="00DA7E4D" w:rsidRPr="00E93C91" w:rsidRDefault="00DA7E4D" w:rsidP="00443232">
            <w:pPr>
              <w:spacing w:before="60" w:after="60"/>
              <w:jc w:val="center"/>
              <w:rPr>
                <w:rFonts w:ascii="Times New Roman" w:hAnsi="Times New Roman" w:cs="Times New Roman"/>
                <w:sz w:val="28"/>
                <w:szCs w:val="28"/>
              </w:rPr>
            </w:pPr>
            <w:r w:rsidRPr="00E93C91">
              <w:rPr>
                <w:rFonts w:ascii="Times New Roman" w:hAnsi="Times New Roman" w:cs="Times New Roman"/>
                <w:sz w:val="28"/>
                <w:szCs w:val="28"/>
              </w:rPr>
              <w:t>3</w:t>
            </w:r>
          </w:p>
        </w:tc>
        <w:tc>
          <w:tcPr>
            <w:tcW w:w="5751" w:type="dxa"/>
            <w:vAlign w:val="center"/>
          </w:tcPr>
          <w:p w14:paraId="5A547DF1" w14:textId="77777777" w:rsidR="00DA7E4D" w:rsidRPr="00E93C91" w:rsidRDefault="00DA7E4D" w:rsidP="00443232">
            <w:pPr>
              <w:spacing w:before="60" w:after="60"/>
              <w:rPr>
                <w:rFonts w:ascii="Times New Roman" w:hAnsi="Times New Roman" w:cs="Times New Roman"/>
                <w:sz w:val="28"/>
                <w:szCs w:val="28"/>
              </w:rPr>
            </w:pPr>
            <w:r w:rsidRPr="00E93C91">
              <w:rPr>
                <w:rFonts w:ascii="Times New Roman" w:hAnsi="Times New Roman" w:cs="Times New Roman"/>
                <w:sz w:val="28"/>
                <w:szCs w:val="28"/>
              </w:rPr>
              <w:t>Chi phí vật liệu</w:t>
            </w:r>
          </w:p>
        </w:tc>
        <w:tc>
          <w:tcPr>
            <w:tcW w:w="2551" w:type="dxa"/>
            <w:vAlign w:val="center"/>
          </w:tcPr>
          <w:p w14:paraId="76706808" w14:textId="77777777" w:rsidR="00DA7E4D" w:rsidRPr="00E93C91" w:rsidRDefault="00DA7E4D" w:rsidP="00443232">
            <w:pPr>
              <w:spacing w:before="60" w:after="60"/>
              <w:jc w:val="center"/>
              <w:rPr>
                <w:rFonts w:ascii="Times New Roman" w:hAnsi="Times New Roman" w:cs="Times New Roman"/>
                <w:sz w:val="28"/>
                <w:szCs w:val="28"/>
              </w:rPr>
            </w:pPr>
            <w:r w:rsidRPr="00E93C91">
              <w:rPr>
                <w:rFonts w:ascii="Times New Roman" w:hAnsi="Times New Roman" w:cs="Times New Roman"/>
                <w:sz w:val="28"/>
                <w:szCs w:val="28"/>
              </w:rPr>
              <w:t>3</w:t>
            </w:r>
          </w:p>
        </w:tc>
      </w:tr>
      <w:tr w:rsidR="00E93C91" w:rsidRPr="00E93C91" w14:paraId="4AE54A0A" w14:textId="77777777" w:rsidTr="00443232">
        <w:tc>
          <w:tcPr>
            <w:tcW w:w="770" w:type="dxa"/>
            <w:vAlign w:val="center"/>
          </w:tcPr>
          <w:p w14:paraId="19E4403D" w14:textId="77777777" w:rsidR="00DA7E4D" w:rsidRPr="00E93C91" w:rsidRDefault="00DA7E4D" w:rsidP="00443232">
            <w:pPr>
              <w:spacing w:before="60" w:after="60"/>
              <w:jc w:val="center"/>
              <w:rPr>
                <w:rFonts w:ascii="Times New Roman" w:hAnsi="Times New Roman" w:cs="Times New Roman"/>
                <w:sz w:val="28"/>
                <w:szCs w:val="28"/>
              </w:rPr>
            </w:pPr>
            <w:r w:rsidRPr="00E93C91">
              <w:rPr>
                <w:rFonts w:ascii="Times New Roman" w:hAnsi="Times New Roman" w:cs="Times New Roman"/>
                <w:sz w:val="28"/>
                <w:szCs w:val="28"/>
              </w:rPr>
              <w:t>4</w:t>
            </w:r>
          </w:p>
        </w:tc>
        <w:tc>
          <w:tcPr>
            <w:tcW w:w="5751" w:type="dxa"/>
            <w:vAlign w:val="center"/>
          </w:tcPr>
          <w:p w14:paraId="6481323C" w14:textId="77777777" w:rsidR="00DA7E4D" w:rsidRPr="00E93C91" w:rsidRDefault="00DA7E4D" w:rsidP="00443232">
            <w:pPr>
              <w:spacing w:before="60" w:after="60"/>
              <w:rPr>
                <w:rFonts w:ascii="Times New Roman" w:hAnsi="Times New Roman" w:cs="Times New Roman"/>
                <w:sz w:val="28"/>
                <w:szCs w:val="28"/>
              </w:rPr>
            </w:pPr>
            <w:r w:rsidRPr="00E93C91">
              <w:rPr>
                <w:rFonts w:ascii="Times New Roman" w:hAnsi="Times New Roman" w:cs="Times New Roman"/>
                <w:sz w:val="28"/>
                <w:szCs w:val="28"/>
              </w:rPr>
              <w:t>Chi phí thiết bị</w:t>
            </w:r>
          </w:p>
        </w:tc>
        <w:tc>
          <w:tcPr>
            <w:tcW w:w="2551" w:type="dxa"/>
            <w:vAlign w:val="center"/>
          </w:tcPr>
          <w:p w14:paraId="4B710BFA" w14:textId="77777777" w:rsidR="00DA7E4D" w:rsidRPr="00E93C91" w:rsidRDefault="00DA7E4D" w:rsidP="00443232">
            <w:pPr>
              <w:spacing w:before="60" w:after="60"/>
              <w:jc w:val="center"/>
              <w:rPr>
                <w:rFonts w:ascii="Times New Roman" w:hAnsi="Times New Roman" w:cs="Times New Roman"/>
                <w:sz w:val="28"/>
                <w:szCs w:val="28"/>
              </w:rPr>
            </w:pPr>
            <w:r w:rsidRPr="00E93C91">
              <w:rPr>
                <w:rFonts w:ascii="Times New Roman" w:hAnsi="Times New Roman" w:cs="Times New Roman"/>
                <w:sz w:val="28"/>
                <w:szCs w:val="28"/>
              </w:rPr>
              <w:t>4.a + 4.b</w:t>
            </w:r>
          </w:p>
        </w:tc>
      </w:tr>
      <w:tr w:rsidR="00E93C91" w:rsidRPr="00E93C91" w14:paraId="39183DFF" w14:textId="77777777" w:rsidTr="00443232">
        <w:tc>
          <w:tcPr>
            <w:tcW w:w="770" w:type="dxa"/>
            <w:vAlign w:val="center"/>
          </w:tcPr>
          <w:p w14:paraId="595641C4" w14:textId="77777777" w:rsidR="00DA7E4D" w:rsidRPr="00E93C91" w:rsidRDefault="00DA7E4D" w:rsidP="00443232">
            <w:pPr>
              <w:spacing w:before="60" w:after="60"/>
              <w:jc w:val="center"/>
              <w:rPr>
                <w:rFonts w:ascii="Times New Roman" w:hAnsi="Times New Roman" w:cs="Times New Roman"/>
                <w:i/>
                <w:sz w:val="28"/>
                <w:szCs w:val="28"/>
              </w:rPr>
            </w:pPr>
            <w:r w:rsidRPr="00E93C91">
              <w:rPr>
                <w:rFonts w:ascii="Times New Roman" w:hAnsi="Times New Roman" w:cs="Times New Roman"/>
                <w:i/>
                <w:sz w:val="28"/>
                <w:szCs w:val="28"/>
              </w:rPr>
              <w:t>4.a</w:t>
            </w:r>
          </w:p>
        </w:tc>
        <w:tc>
          <w:tcPr>
            <w:tcW w:w="5751" w:type="dxa"/>
            <w:vAlign w:val="center"/>
          </w:tcPr>
          <w:p w14:paraId="5D25D7C4" w14:textId="77777777" w:rsidR="00DA7E4D" w:rsidRPr="00E93C91" w:rsidRDefault="006E7E84" w:rsidP="006E7E84">
            <w:pPr>
              <w:spacing w:before="60" w:after="60"/>
              <w:rPr>
                <w:rFonts w:ascii="Times New Roman" w:hAnsi="Times New Roman" w:cs="Times New Roman"/>
                <w:i/>
                <w:sz w:val="28"/>
                <w:szCs w:val="28"/>
              </w:rPr>
            </w:pPr>
            <w:r w:rsidRPr="00E93C91">
              <w:rPr>
                <w:rFonts w:ascii="Times New Roman" w:hAnsi="Times New Roman" w:cs="Times New Roman"/>
                <w:i/>
                <w:sz w:val="28"/>
                <w:szCs w:val="28"/>
              </w:rPr>
              <w:t>Chi phí k</w:t>
            </w:r>
            <w:r w:rsidR="00DA7E4D" w:rsidRPr="00E93C91">
              <w:rPr>
                <w:rFonts w:ascii="Times New Roman" w:hAnsi="Times New Roman" w:cs="Times New Roman"/>
                <w:i/>
                <w:sz w:val="28"/>
                <w:szCs w:val="28"/>
              </w:rPr>
              <w:t>hấu hao thiết bị</w:t>
            </w:r>
          </w:p>
        </w:tc>
        <w:tc>
          <w:tcPr>
            <w:tcW w:w="2551" w:type="dxa"/>
            <w:vAlign w:val="center"/>
          </w:tcPr>
          <w:p w14:paraId="0FD352B2" w14:textId="77777777" w:rsidR="00DA7E4D" w:rsidRPr="00E93C91" w:rsidRDefault="00DA7E4D" w:rsidP="00443232">
            <w:pPr>
              <w:spacing w:before="60" w:after="60"/>
              <w:jc w:val="center"/>
              <w:rPr>
                <w:rFonts w:ascii="Times New Roman" w:hAnsi="Times New Roman" w:cs="Times New Roman"/>
                <w:i/>
                <w:sz w:val="28"/>
                <w:szCs w:val="28"/>
              </w:rPr>
            </w:pPr>
            <w:r w:rsidRPr="00E93C91">
              <w:rPr>
                <w:rFonts w:ascii="Times New Roman" w:hAnsi="Times New Roman" w:cs="Times New Roman"/>
                <w:i/>
                <w:sz w:val="28"/>
                <w:szCs w:val="28"/>
              </w:rPr>
              <w:t>4.a</w:t>
            </w:r>
          </w:p>
        </w:tc>
      </w:tr>
      <w:tr w:rsidR="00E93C91" w:rsidRPr="00E93C91" w14:paraId="0907E29E" w14:textId="77777777" w:rsidTr="00443232">
        <w:tc>
          <w:tcPr>
            <w:tcW w:w="770" w:type="dxa"/>
            <w:vAlign w:val="center"/>
          </w:tcPr>
          <w:p w14:paraId="720F367A" w14:textId="77777777" w:rsidR="00DA7E4D" w:rsidRPr="00E93C91" w:rsidRDefault="00DA7E4D" w:rsidP="00443232">
            <w:pPr>
              <w:spacing w:before="60" w:after="60"/>
              <w:jc w:val="center"/>
              <w:rPr>
                <w:rFonts w:ascii="Times New Roman" w:hAnsi="Times New Roman" w:cs="Times New Roman"/>
                <w:i/>
                <w:sz w:val="28"/>
                <w:szCs w:val="28"/>
              </w:rPr>
            </w:pPr>
            <w:r w:rsidRPr="00E93C91">
              <w:rPr>
                <w:rFonts w:ascii="Times New Roman" w:hAnsi="Times New Roman" w:cs="Times New Roman"/>
                <w:i/>
                <w:sz w:val="28"/>
                <w:szCs w:val="28"/>
              </w:rPr>
              <w:t>4.b</w:t>
            </w:r>
          </w:p>
        </w:tc>
        <w:tc>
          <w:tcPr>
            <w:tcW w:w="5751" w:type="dxa"/>
            <w:vAlign w:val="center"/>
          </w:tcPr>
          <w:p w14:paraId="4CA9D42A" w14:textId="77777777" w:rsidR="00DA7E4D" w:rsidRPr="00E93C91" w:rsidRDefault="00DA7E4D" w:rsidP="00443232">
            <w:pPr>
              <w:spacing w:before="60" w:after="60"/>
              <w:rPr>
                <w:rFonts w:ascii="Times New Roman" w:hAnsi="Times New Roman" w:cs="Times New Roman"/>
                <w:i/>
                <w:sz w:val="28"/>
                <w:szCs w:val="28"/>
              </w:rPr>
            </w:pPr>
            <w:r w:rsidRPr="00E93C91">
              <w:rPr>
                <w:rFonts w:ascii="Times New Roman" w:hAnsi="Times New Roman" w:cs="Times New Roman"/>
                <w:i/>
                <w:sz w:val="28"/>
                <w:szCs w:val="28"/>
              </w:rPr>
              <w:t>Chi phí điện năng tiêu thụ của thiết bị</w:t>
            </w:r>
          </w:p>
        </w:tc>
        <w:tc>
          <w:tcPr>
            <w:tcW w:w="2551" w:type="dxa"/>
            <w:vAlign w:val="center"/>
          </w:tcPr>
          <w:p w14:paraId="2A3D3430" w14:textId="77777777" w:rsidR="00DA7E4D" w:rsidRPr="00E93C91" w:rsidRDefault="00DA7E4D" w:rsidP="00443232">
            <w:pPr>
              <w:spacing w:before="60" w:after="60"/>
              <w:jc w:val="center"/>
              <w:rPr>
                <w:rFonts w:ascii="Times New Roman" w:hAnsi="Times New Roman" w:cs="Times New Roman"/>
                <w:i/>
                <w:sz w:val="28"/>
                <w:szCs w:val="28"/>
              </w:rPr>
            </w:pPr>
            <w:r w:rsidRPr="00E93C91">
              <w:rPr>
                <w:rFonts w:ascii="Times New Roman" w:hAnsi="Times New Roman" w:cs="Times New Roman"/>
                <w:i/>
                <w:sz w:val="28"/>
                <w:szCs w:val="28"/>
              </w:rPr>
              <w:t>4.b</w:t>
            </w:r>
          </w:p>
        </w:tc>
      </w:tr>
      <w:tr w:rsidR="00E93C91" w:rsidRPr="00E93C91" w14:paraId="05460B4E" w14:textId="77777777" w:rsidTr="00443232">
        <w:tc>
          <w:tcPr>
            <w:tcW w:w="770" w:type="dxa"/>
            <w:vAlign w:val="center"/>
          </w:tcPr>
          <w:p w14:paraId="0E8D7E53" w14:textId="77777777" w:rsidR="00DA7E4D" w:rsidRPr="00E93C91" w:rsidRDefault="00DA7E4D" w:rsidP="00443232">
            <w:pPr>
              <w:spacing w:before="60" w:after="60"/>
              <w:jc w:val="center"/>
              <w:rPr>
                <w:rFonts w:ascii="Times New Roman" w:hAnsi="Times New Roman" w:cs="Times New Roman"/>
                <w:b/>
                <w:sz w:val="28"/>
                <w:szCs w:val="28"/>
              </w:rPr>
            </w:pPr>
            <w:r w:rsidRPr="00E93C91">
              <w:rPr>
                <w:rFonts w:ascii="Times New Roman" w:hAnsi="Times New Roman" w:cs="Times New Roman"/>
                <w:b/>
                <w:sz w:val="28"/>
                <w:szCs w:val="28"/>
              </w:rPr>
              <w:t>II</w:t>
            </w:r>
          </w:p>
        </w:tc>
        <w:tc>
          <w:tcPr>
            <w:tcW w:w="5751" w:type="dxa"/>
            <w:vAlign w:val="center"/>
          </w:tcPr>
          <w:p w14:paraId="6533EF19" w14:textId="77777777" w:rsidR="00DA7E4D" w:rsidRPr="00E93C91" w:rsidRDefault="00DA7E4D" w:rsidP="00443232">
            <w:pPr>
              <w:spacing w:before="60" w:after="60"/>
              <w:rPr>
                <w:rFonts w:ascii="Times New Roman" w:hAnsi="Times New Roman" w:cs="Times New Roman"/>
                <w:sz w:val="28"/>
                <w:szCs w:val="28"/>
              </w:rPr>
            </w:pPr>
            <w:r w:rsidRPr="00E93C91">
              <w:rPr>
                <w:rFonts w:ascii="Times New Roman" w:hAnsi="Times New Roman" w:cs="Times New Roman"/>
                <w:b/>
                <w:sz w:val="28"/>
                <w:szCs w:val="28"/>
              </w:rPr>
              <w:t>Chi phí quản lý chung</w:t>
            </w:r>
          </w:p>
        </w:tc>
        <w:tc>
          <w:tcPr>
            <w:tcW w:w="2551" w:type="dxa"/>
            <w:vAlign w:val="center"/>
          </w:tcPr>
          <w:p w14:paraId="14686DB9" w14:textId="77777777" w:rsidR="00DA7E4D" w:rsidRPr="00E93C91" w:rsidRDefault="00DA7E4D" w:rsidP="00443232">
            <w:pPr>
              <w:spacing w:before="60" w:after="60"/>
              <w:jc w:val="center"/>
              <w:rPr>
                <w:rFonts w:ascii="Times New Roman" w:hAnsi="Times New Roman" w:cs="Times New Roman"/>
                <w:sz w:val="28"/>
                <w:szCs w:val="28"/>
              </w:rPr>
            </w:pPr>
            <w:r w:rsidRPr="00E93C91">
              <w:rPr>
                <w:rFonts w:ascii="Times New Roman" w:hAnsi="Times New Roman" w:cs="Times New Roman"/>
                <w:sz w:val="28"/>
                <w:szCs w:val="28"/>
              </w:rPr>
              <w:t>I x 15%</w:t>
            </w:r>
          </w:p>
        </w:tc>
      </w:tr>
      <w:tr w:rsidR="00E93C91" w:rsidRPr="00E93C91" w14:paraId="0147743F" w14:textId="77777777" w:rsidTr="00443232">
        <w:tc>
          <w:tcPr>
            <w:tcW w:w="770" w:type="dxa"/>
            <w:vAlign w:val="center"/>
          </w:tcPr>
          <w:p w14:paraId="6B2C728B" w14:textId="77777777" w:rsidR="00DA7E4D" w:rsidRPr="00E93C91" w:rsidRDefault="00DA7E4D" w:rsidP="00443232">
            <w:pPr>
              <w:spacing w:before="60" w:after="60"/>
              <w:jc w:val="center"/>
              <w:rPr>
                <w:rFonts w:ascii="Times New Roman" w:hAnsi="Times New Roman" w:cs="Times New Roman"/>
                <w:b/>
                <w:sz w:val="28"/>
                <w:szCs w:val="28"/>
              </w:rPr>
            </w:pPr>
          </w:p>
        </w:tc>
        <w:tc>
          <w:tcPr>
            <w:tcW w:w="5751" w:type="dxa"/>
            <w:vAlign w:val="center"/>
          </w:tcPr>
          <w:p w14:paraId="23333C14" w14:textId="77777777" w:rsidR="00DA7E4D" w:rsidRPr="00E93C91" w:rsidRDefault="00DA7E4D" w:rsidP="00443232">
            <w:pPr>
              <w:spacing w:before="60" w:after="60"/>
              <w:rPr>
                <w:rFonts w:ascii="Times New Roman" w:hAnsi="Times New Roman" w:cs="Times New Roman"/>
                <w:b/>
                <w:sz w:val="28"/>
                <w:szCs w:val="28"/>
              </w:rPr>
            </w:pPr>
            <w:r w:rsidRPr="00E93C91">
              <w:rPr>
                <w:rFonts w:ascii="Times New Roman" w:hAnsi="Times New Roman" w:cs="Times New Roman"/>
                <w:b/>
                <w:sz w:val="28"/>
                <w:szCs w:val="28"/>
              </w:rPr>
              <w:t>Đơn giá sản phẩm</w:t>
            </w:r>
          </w:p>
        </w:tc>
        <w:tc>
          <w:tcPr>
            <w:tcW w:w="2551" w:type="dxa"/>
            <w:vAlign w:val="center"/>
          </w:tcPr>
          <w:p w14:paraId="7F948F39" w14:textId="77777777" w:rsidR="00DA7E4D" w:rsidRPr="00E93C91" w:rsidRDefault="00DA7E4D" w:rsidP="00443232">
            <w:pPr>
              <w:spacing w:before="60" w:after="60"/>
              <w:jc w:val="center"/>
              <w:rPr>
                <w:rFonts w:ascii="Times New Roman" w:hAnsi="Times New Roman" w:cs="Times New Roman"/>
                <w:b/>
                <w:sz w:val="28"/>
                <w:szCs w:val="28"/>
              </w:rPr>
            </w:pPr>
            <w:r w:rsidRPr="00E93C91">
              <w:rPr>
                <w:rFonts w:ascii="Times New Roman" w:hAnsi="Times New Roman" w:cs="Times New Roman"/>
                <w:b/>
                <w:sz w:val="28"/>
                <w:szCs w:val="28"/>
              </w:rPr>
              <w:t>I + II</w:t>
            </w:r>
          </w:p>
        </w:tc>
      </w:tr>
    </w:tbl>
    <w:p w14:paraId="2D435627" w14:textId="77777777" w:rsidR="00DA7E4D" w:rsidRPr="00E93C91" w:rsidRDefault="003E6146" w:rsidP="00DA7E4D">
      <w:pPr>
        <w:spacing w:before="120" w:after="120" w:line="240" w:lineRule="auto"/>
        <w:ind w:firstLine="720"/>
        <w:jc w:val="both"/>
        <w:rPr>
          <w:rFonts w:ascii="Times New Roman" w:hAnsi="Times New Roman" w:cs="Times New Roman"/>
          <w:b/>
          <w:sz w:val="28"/>
          <w:szCs w:val="28"/>
        </w:rPr>
      </w:pPr>
      <w:r w:rsidRPr="00E93C91">
        <w:rPr>
          <w:rFonts w:ascii="Times New Roman" w:hAnsi="Times New Roman" w:cs="Times New Roman"/>
          <w:sz w:val="28"/>
          <w:szCs w:val="28"/>
        </w:rPr>
        <w:t>T</w:t>
      </w:r>
      <w:r w:rsidR="00DA7E4D" w:rsidRPr="00E93C91">
        <w:rPr>
          <w:rFonts w:ascii="Times New Roman" w:hAnsi="Times New Roman" w:cs="Times New Roman"/>
          <w:sz w:val="28"/>
          <w:szCs w:val="28"/>
        </w:rPr>
        <w:t>rong đó từng chi phí thành phần được xác định như sau:</w:t>
      </w:r>
    </w:p>
    <w:p w14:paraId="0B4CD1AA" w14:textId="77777777" w:rsidR="00DA7E4D" w:rsidRPr="00E93C91" w:rsidRDefault="00DA7E4D" w:rsidP="00DA7E4D">
      <w:pPr>
        <w:spacing w:before="120" w:after="120" w:line="240" w:lineRule="auto"/>
        <w:ind w:firstLine="720"/>
        <w:jc w:val="both"/>
        <w:rPr>
          <w:rFonts w:ascii="Times New Roman" w:hAnsi="Times New Roman" w:cs="Times New Roman"/>
          <w:b/>
          <w:i/>
          <w:sz w:val="28"/>
          <w:szCs w:val="28"/>
        </w:rPr>
      </w:pPr>
      <w:r w:rsidRPr="00E93C91">
        <w:rPr>
          <w:rFonts w:ascii="Times New Roman" w:hAnsi="Times New Roman" w:cs="Times New Roman"/>
          <w:b/>
          <w:i/>
          <w:sz w:val="28"/>
          <w:szCs w:val="28"/>
        </w:rPr>
        <w:t>2.1.1. Chi phí trực tiếp:</w:t>
      </w:r>
    </w:p>
    <w:p w14:paraId="1D142E48" w14:textId="77777777" w:rsidR="00DA7E4D" w:rsidRPr="00E93C91" w:rsidRDefault="00DA7E4D" w:rsidP="00DA7E4D">
      <w:pPr>
        <w:spacing w:before="120" w:after="120" w:line="240" w:lineRule="auto"/>
        <w:ind w:firstLine="720"/>
        <w:jc w:val="both"/>
        <w:rPr>
          <w:rFonts w:ascii="Times New Roman" w:hAnsi="Times New Roman" w:cs="Times New Roman"/>
          <w:b/>
          <w:i/>
          <w:sz w:val="28"/>
          <w:szCs w:val="28"/>
        </w:rPr>
      </w:pPr>
      <w:r w:rsidRPr="00E93C91">
        <w:rPr>
          <w:rFonts w:ascii="Times New Roman" w:hAnsi="Times New Roman" w:cs="Times New Roman"/>
          <w:b/>
          <w:i/>
          <w:sz w:val="28"/>
          <w:szCs w:val="28"/>
        </w:rPr>
        <w:t xml:space="preserve">a) Chi phí lao động kỹ thuật: </w:t>
      </w:r>
    </w:p>
    <w:p w14:paraId="2A402EE0" w14:textId="77777777" w:rsidR="00B15AEF" w:rsidRPr="00E93C91" w:rsidRDefault="00B15AEF" w:rsidP="00DA7E4D">
      <w:pPr>
        <w:spacing w:before="120" w:after="12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 xml:space="preserve">Chi phí lao động kỹ thuật bằng (=) số công lao động kỹ thuật theo định mức nhân (x) đơn giá ngày công lao động kỹ thuật. </w:t>
      </w:r>
    </w:p>
    <w:p w14:paraId="7B5317BB" w14:textId="77777777" w:rsidR="00B15AEF" w:rsidRPr="00E93C91" w:rsidRDefault="00D66D75" w:rsidP="00DA7E4D">
      <w:pPr>
        <w:spacing w:before="120" w:after="12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Trong đó:</w:t>
      </w:r>
    </w:p>
    <w:tbl>
      <w:tblPr>
        <w:tblStyle w:val="TableGrid"/>
        <w:tblW w:w="9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
        <w:gridCol w:w="3648"/>
        <w:gridCol w:w="567"/>
        <w:gridCol w:w="2829"/>
      </w:tblGrid>
      <w:tr w:rsidR="00E93C91" w:rsidRPr="00E93C91" w14:paraId="56760E99" w14:textId="77777777" w:rsidTr="009B41F2">
        <w:tc>
          <w:tcPr>
            <w:tcW w:w="1838" w:type="dxa"/>
            <w:vMerge w:val="restart"/>
            <w:vAlign w:val="center"/>
          </w:tcPr>
          <w:p w14:paraId="3DC26D03" w14:textId="77777777" w:rsidR="009B41F2" w:rsidRPr="00E93C91" w:rsidRDefault="009B41F2" w:rsidP="009B41F2">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Đơn giá ngày công lao động kỹ thuật</w:t>
            </w:r>
          </w:p>
        </w:tc>
        <w:tc>
          <w:tcPr>
            <w:tcW w:w="722" w:type="dxa"/>
            <w:vMerge w:val="restart"/>
            <w:vAlign w:val="center"/>
          </w:tcPr>
          <w:p w14:paraId="66DCE8ED" w14:textId="77777777" w:rsidR="00154EC9" w:rsidRPr="00E93C91" w:rsidRDefault="00154EC9" w:rsidP="009B41F2">
            <w:pPr>
              <w:spacing w:before="120" w:after="120"/>
              <w:jc w:val="center"/>
              <w:rPr>
                <w:rFonts w:ascii="Times New Roman" w:hAnsi="Times New Roman" w:cs="Times New Roman"/>
                <w:sz w:val="28"/>
                <w:szCs w:val="28"/>
              </w:rPr>
            </w:pPr>
          </w:p>
          <w:p w14:paraId="43E0A7F6" w14:textId="77777777" w:rsidR="009B41F2" w:rsidRPr="00E93C91" w:rsidRDefault="009B41F2" w:rsidP="009B41F2">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w:t>
            </w:r>
          </w:p>
        </w:tc>
        <w:tc>
          <w:tcPr>
            <w:tcW w:w="3648" w:type="dxa"/>
            <w:tcBorders>
              <w:bottom w:val="single" w:sz="4" w:space="0" w:color="auto"/>
            </w:tcBorders>
            <w:vAlign w:val="center"/>
          </w:tcPr>
          <w:p w14:paraId="1C98565F" w14:textId="77777777" w:rsidR="009B41F2" w:rsidRPr="00E93C91" w:rsidRDefault="009B41F2" w:rsidP="009B41F2">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Tiền lương 1 tháng theo cấp bậc kỹ thuật quy định trong định mức</w:t>
            </w:r>
          </w:p>
        </w:tc>
        <w:tc>
          <w:tcPr>
            <w:tcW w:w="567" w:type="dxa"/>
            <w:tcBorders>
              <w:bottom w:val="single" w:sz="4" w:space="0" w:color="auto"/>
            </w:tcBorders>
            <w:vAlign w:val="center"/>
          </w:tcPr>
          <w:p w14:paraId="1B36315D" w14:textId="77777777" w:rsidR="009B41F2" w:rsidRPr="00E93C91" w:rsidRDefault="009B41F2" w:rsidP="009B41F2">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w:t>
            </w:r>
          </w:p>
        </w:tc>
        <w:tc>
          <w:tcPr>
            <w:tcW w:w="2829" w:type="dxa"/>
            <w:tcBorders>
              <w:bottom w:val="single" w:sz="4" w:space="0" w:color="auto"/>
            </w:tcBorders>
            <w:vAlign w:val="center"/>
          </w:tcPr>
          <w:p w14:paraId="09106EC4" w14:textId="77777777" w:rsidR="009B41F2" w:rsidRPr="00E93C91" w:rsidRDefault="009B41F2" w:rsidP="009B41F2">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Các khoản phụ cấp, đóng góp 01 tháng theo chế độ</w:t>
            </w:r>
          </w:p>
        </w:tc>
      </w:tr>
      <w:tr w:rsidR="00E93C91" w:rsidRPr="00E93C91" w14:paraId="7C91DCE6" w14:textId="77777777" w:rsidTr="009B41F2">
        <w:tc>
          <w:tcPr>
            <w:tcW w:w="1838" w:type="dxa"/>
            <w:vMerge/>
            <w:vAlign w:val="center"/>
          </w:tcPr>
          <w:p w14:paraId="0A1AE2AB" w14:textId="77777777" w:rsidR="009B41F2" w:rsidRPr="00E93C91" w:rsidRDefault="009B41F2" w:rsidP="009B41F2">
            <w:pPr>
              <w:spacing w:before="120" w:after="120"/>
              <w:jc w:val="center"/>
              <w:rPr>
                <w:rFonts w:ascii="Times New Roman" w:hAnsi="Times New Roman" w:cs="Times New Roman"/>
                <w:sz w:val="28"/>
                <w:szCs w:val="28"/>
              </w:rPr>
            </w:pPr>
          </w:p>
        </w:tc>
        <w:tc>
          <w:tcPr>
            <w:tcW w:w="722" w:type="dxa"/>
            <w:vMerge/>
            <w:vAlign w:val="center"/>
          </w:tcPr>
          <w:p w14:paraId="447680DA" w14:textId="77777777" w:rsidR="009B41F2" w:rsidRPr="00E93C91" w:rsidRDefault="009B41F2" w:rsidP="009B41F2">
            <w:pPr>
              <w:spacing w:before="120" w:after="120"/>
              <w:jc w:val="center"/>
              <w:rPr>
                <w:rFonts w:ascii="Times New Roman" w:hAnsi="Times New Roman" w:cs="Times New Roman"/>
                <w:sz w:val="28"/>
                <w:szCs w:val="28"/>
              </w:rPr>
            </w:pPr>
          </w:p>
        </w:tc>
        <w:tc>
          <w:tcPr>
            <w:tcW w:w="7044" w:type="dxa"/>
            <w:gridSpan w:val="3"/>
            <w:tcBorders>
              <w:top w:val="single" w:sz="4" w:space="0" w:color="auto"/>
            </w:tcBorders>
            <w:vAlign w:val="center"/>
          </w:tcPr>
          <w:p w14:paraId="113A1705" w14:textId="77777777" w:rsidR="009B41F2" w:rsidRPr="00E93C91" w:rsidRDefault="009B41F2" w:rsidP="009B41F2">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26 ngày công/tháng</w:t>
            </w:r>
          </w:p>
        </w:tc>
      </w:tr>
    </w:tbl>
    <w:p w14:paraId="02D46BB4" w14:textId="77777777" w:rsidR="00D0754C" w:rsidRPr="00E93C91" w:rsidRDefault="00123EBB" w:rsidP="00F52CA8">
      <w:pPr>
        <w:spacing w:before="120" w:after="12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 xml:space="preserve">Tiền lương 01 tháng theo cấp bậc kỹ thuật quy định trong định mức thực hiện theo hệ số lương ban hành theo Nghị định số 204/2004/NĐ-CP ngày 14 tháng 12 năm 2004 của Chính phủ về chế độ tiền lương đối với cán bộ, công chức, viên chức và lực lượng vũ trang và văn bản sửa đổi, thay thế (nếu có); mức lương cơ sở theo </w:t>
      </w:r>
      <w:r w:rsidR="00D0754C" w:rsidRPr="00E93C91">
        <w:rPr>
          <w:rFonts w:ascii="Times New Roman" w:hAnsi="Times New Roman" w:cs="Times New Roman"/>
          <w:sz w:val="28"/>
          <w:szCs w:val="28"/>
          <w:lang w:val="en-GB"/>
        </w:rPr>
        <w:t>Nghị định số 38/2019/NĐ-CP</w:t>
      </w:r>
      <w:r w:rsidR="00D0754C" w:rsidRPr="00E93C91">
        <w:rPr>
          <w:rFonts w:ascii="Times New Roman" w:hAnsi="Times New Roman" w:cs="Times New Roman"/>
          <w:sz w:val="28"/>
          <w:szCs w:val="28"/>
        </w:rPr>
        <w:t xml:space="preserve"> là 1.490.000 đồng/tháng.</w:t>
      </w:r>
    </w:p>
    <w:p w14:paraId="2A348D84" w14:textId="77777777" w:rsidR="00123EBB" w:rsidRPr="00E93C91" w:rsidRDefault="00123EBB" w:rsidP="00F52CA8">
      <w:pPr>
        <w:spacing w:before="120" w:after="12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 xml:space="preserve">Các khoản đóng góp khác </w:t>
      </w:r>
      <w:r w:rsidRPr="00E93C91">
        <w:rPr>
          <w:rFonts w:ascii="Times New Roman" w:hAnsi="Times New Roman" w:cs="Times New Roman"/>
          <w:i/>
          <w:sz w:val="28"/>
          <w:szCs w:val="28"/>
        </w:rPr>
        <w:t>(23,5% x Tiền lương theo cấp bậc)</w:t>
      </w:r>
      <w:r w:rsidRPr="00E93C91">
        <w:rPr>
          <w:rFonts w:ascii="Times New Roman" w:hAnsi="Times New Roman" w:cs="Times New Roman"/>
          <w:sz w:val="28"/>
          <w:szCs w:val="28"/>
        </w:rPr>
        <w:t xml:space="preserve"> như: Bảo hiểm xã hội (17,5%), bảo hiểm y tế (3%), bảo hiểm thất nghiệp (1%), kinh phí công đoàn (2%).</w:t>
      </w:r>
    </w:p>
    <w:p w14:paraId="3D25D27A" w14:textId="77777777" w:rsidR="00DA7E4D" w:rsidRPr="00E93C91" w:rsidRDefault="00DA7E4D" w:rsidP="00F52CA8">
      <w:pPr>
        <w:spacing w:before="120" w:after="12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Ngày công tính bằng 08 giờ làm việc, một tháng làm việc 26 ngày.</w:t>
      </w:r>
    </w:p>
    <w:p w14:paraId="1B90AD08" w14:textId="77777777" w:rsidR="00242233" w:rsidRPr="00E93C91" w:rsidRDefault="00242233" w:rsidP="00F52CA8">
      <w:pPr>
        <w:spacing w:before="120" w:after="120" w:line="240" w:lineRule="auto"/>
        <w:jc w:val="both"/>
        <w:rPr>
          <w:rFonts w:ascii="Times New Roman" w:hAnsi="Times New Roman" w:cs="Times New Roman"/>
          <w:sz w:val="28"/>
          <w:szCs w:val="28"/>
          <w:lang w:val="vi-VN"/>
        </w:rPr>
      </w:pPr>
      <w:r w:rsidRPr="00E93C91">
        <w:rPr>
          <w:sz w:val="20"/>
          <w:lang w:val="vi-VN"/>
        </w:rPr>
        <w:tab/>
      </w:r>
      <w:r w:rsidRPr="00E93C91">
        <w:rPr>
          <w:rFonts w:ascii="Times New Roman" w:hAnsi="Times New Roman" w:cs="Times New Roman"/>
          <w:sz w:val="28"/>
          <w:szCs w:val="28"/>
          <w:lang w:val="vi-VN"/>
        </w:rPr>
        <w:t xml:space="preserve">Định mức công việc Nhập, đối soát dữ liệu đặc tả về thông tin, dữ liệu; Nhập, đối soát danh mục thông tin, dữ liệu được áp dụng định mức công việc Nhập, đối soát dữ liệu quy định tại </w:t>
      </w:r>
      <w:bookmarkStart w:id="2" w:name="dc_14"/>
      <w:r w:rsidRPr="00E93C91">
        <w:rPr>
          <w:rFonts w:ascii="Times New Roman" w:hAnsi="Times New Roman" w:cs="Times New Roman"/>
          <w:sz w:val="28"/>
          <w:szCs w:val="28"/>
          <w:lang w:val="vi-VN"/>
        </w:rPr>
        <w:t xml:space="preserve">Khoản 4 Chương 1 Phần 3 Thông tư số </w:t>
      </w:r>
      <w:r w:rsidRPr="00E93C91">
        <w:rPr>
          <w:rFonts w:ascii="Times New Roman" w:hAnsi="Times New Roman" w:cs="Times New Roman"/>
          <w:sz w:val="28"/>
          <w:szCs w:val="28"/>
          <w:lang w:val="vi-VN"/>
        </w:rPr>
        <w:lastRenderedPageBreak/>
        <w:t>26/2014/TT-BTNMT</w:t>
      </w:r>
      <w:bookmarkEnd w:id="2"/>
      <w:r w:rsidRPr="00E93C91">
        <w:rPr>
          <w:rFonts w:ascii="Times New Roman" w:hAnsi="Times New Roman" w:cs="Times New Roman"/>
          <w:sz w:val="28"/>
          <w:szCs w:val="28"/>
          <w:lang w:val="vi-VN"/>
        </w:rPr>
        <w:t xml:space="preserve"> ngày 28 tháng 5 năm 2014 của Bộ trưởng Bộ Tài nguyên và Môi trường về Quy trình và Định mức kinh tế - kỹ thuật xây dựng cơ sở dữ liệu tài nguyên và môi trường (sau đây gọi là Thông tư số 26/2014/TT-BTNMT).</w:t>
      </w:r>
    </w:p>
    <w:p w14:paraId="24472812" w14:textId="7F046815" w:rsidR="002A0520" w:rsidRPr="00E93C91" w:rsidRDefault="00391F61" w:rsidP="00F52CA8">
      <w:pPr>
        <w:spacing w:before="120" w:after="120" w:line="240" w:lineRule="auto"/>
        <w:ind w:firstLine="709"/>
        <w:jc w:val="both"/>
        <w:rPr>
          <w:rFonts w:ascii="Times New Roman" w:hAnsi="Times New Roman" w:cs="Times New Roman"/>
          <w:sz w:val="28"/>
          <w:szCs w:val="28"/>
          <w:lang w:val="vi-VN"/>
        </w:rPr>
      </w:pPr>
      <w:r w:rsidRPr="00E93C91">
        <w:rPr>
          <w:rFonts w:ascii="Times New Roman" w:hAnsi="Times New Roman" w:cs="Times New Roman"/>
          <w:sz w:val="28"/>
          <w:szCs w:val="28"/>
        </w:rPr>
        <w:t xml:space="preserve">Bước Công việc tiếp nhận thông tin, dữ liệu tài nguyên và môi trường: </w:t>
      </w:r>
      <w:r w:rsidR="002A0520" w:rsidRPr="00E93C91">
        <w:rPr>
          <w:rFonts w:ascii="Times New Roman" w:hAnsi="Times New Roman" w:cs="Times New Roman"/>
          <w:sz w:val="28"/>
          <w:szCs w:val="28"/>
          <w:lang w:val="vi-VN"/>
        </w:rPr>
        <w:t xml:space="preserve">Định mức lao động tính trong trường hợp tài liệu tiếp nhận có cả dạng giấy và dạng số; Trường hợp tài liệu tiếp nhận chỉ có dạng giấy tính bằng 0,60 mức </w:t>
      </w:r>
      <w:r w:rsidR="003A343A" w:rsidRPr="00E93C91">
        <w:rPr>
          <w:rFonts w:ascii="Times New Roman" w:hAnsi="Times New Roman" w:cs="Times New Roman"/>
          <w:sz w:val="28"/>
          <w:szCs w:val="28"/>
          <w:lang w:val="vi-VN"/>
        </w:rPr>
        <w:t>lao động tính trong trường hợp tài liệu tiếp nhận có cả dạng giấy và dạng số</w:t>
      </w:r>
      <w:r w:rsidR="002A0520" w:rsidRPr="00E93C91">
        <w:rPr>
          <w:rFonts w:ascii="Times New Roman" w:hAnsi="Times New Roman" w:cs="Times New Roman"/>
          <w:sz w:val="28"/>
          <w:szCs w:val="28"/>
          <w:lang w:val="vi-VN"/>
        </w:rPr>
        <w:t xml:space="preserve">; Trường hợp tài liệu tiếp nhận chỉ có dạng số tính bằng 0,20 </w:t>
      </w:r>
      <w:r w:rsidR="003A343A" w:rsidRPr="00E93C91">
        <w:rPr>
          <w:rFonts w:ascii="Times New Roman" w:hAnsi="Times New Roman" w:cs="Times New Roman"/>
          <w:sz w:val="28"/>
          <w:szCs w:val="28"/>
          <w:lang w:val="vi-VN"/>
        </w:rPr>
        <w:t>lao động tính trong trường hợp tài liệu tiếp nhận có cả dạng giấy và dạng số</w:t>
      </w:r>
      <w:r w:rsidR="002A0520" w:rsidRPr="00E93C91">
        <w:rPr>
          <w:rFonts w:ascii="Times New Roman" w:hAnsi="Times New Roman" w:cs="Times New Roman"/>
          <w:sz w:val="28"/>
          <w:szCs w:val="28"/>
          <w:lang w:val="vi-VN"/>
        </w:rPr>
        <w:t>.</w:t>
      </w:r>
    </w:p>
    <w:p w14:paraId="7007EE33" w14:textId="06B4B8C7" w:rsidR="002A0520" w:rsidRPr="00E93C91" w:rsidRDefault="00391F61" w:rsidP="00F52CA8">
      <w:pPr>
        <w:spacing w:before="120" w:after="120" w:line="240" w:lineRule="auto"/>
        <w:ind w:firstLine="709"/>
        <w:jc w:val="both"/>
        <w:rPr>
          <w:rFonts w:ascii="Times New Roman" w:hAnsi="Times New Roman" w:cs="Times New Roman"/>
          <w:sz w:val="28"/>
          <w:szCs w:val="28"/>
        </w:rPr>
      </w:pPr>
      <w:r w:rsidRPr="00E93C91">
        <w:rPr>
          <w:rFonts w:ascii="Times New Roman" w:hAnsi="Times New Roman" w:cs="Times New Roman"/>
          <w:sz w:val="28"/>
          <w:szCs w:val="28"/>
        </w:rPr>
        <w:t xml:space="preserve">Bước Công việc chỉnh lý tài liệu lưu trữ dạng giấy: </w:t>
      </w:r>
      <w:r w:rsidR="002A0520" w:rsidRPr="00E93C91">
        <w:rPr>
          <w:rFonts w:ascii="Times New Roman" w:hAnsi="Times New Roman" w:cs="Times New Roman"/>
          <w:sz w:val="28"/>
          <w:szCs w:val="28"/>
          <w:lang w:val="vi-VN"/>
        </w:rPr>
        <w:t xml:space="preserve">Định mức lao động tính cho việc Chỉnh lý tài liệu dạng giấy trong trường hợp tài liệu đã chỉnh lý sơ bộ. Đối với việc Chỉnh lý tài liệu trong trường hợp tài liệu chưa lập hồ sơ (tài liệu rời lẻ) tính bằng 1,10 mức </w:t>
      </w:r>
      <w:r w:rsidR="003A343A" w:rsidRPr="00E93C91">
        <w:rPr>
          <w:rFonts w:ascii="Times New Roman" w:hAnsi="Times New Roman" w:cs="Times New Roman"/>
          <w:sz w:val="28"/>
          <w:szCs w:val="28"/>
          <w:lang w:val="vi-VN"/>
        </w:rPr>
        <w:t>lao động tính cho việc Chỉnh lý tài liệu dạng giấy trong trường hợp tài liệu đã chỉnh lý sơ bộ</w:t>
      </w:r>
      <w:r w:rsidR="002A0520" w:rsidRPr="00E93C91">
        <w:rPr>
          <w:rFonts w:ascii="Times New Roman" w:hAnsi="Times New Roman" w:cs="Times New Roman"/>
          <w:sz w:val="28"/>
          <w:szCs w:val="28"/>
        </w:rPr>
        <w:t>.</w:t>
      </w:r>
    </w:p>
    <w:p w14:paraId="0D9EC9D5" w14:textId="72DA3945" w:rsidR="000D5A00" w:rsidRPr="00E93C91" w:rsidRDefault="000D5A00" w:rsidP="00F52CA8">
      <w:pPr>
        <w:spacing w:before="120" w:after="120" w:line="240" w:lineRule="auto"/>
        <w:ind w:firstLine="709"/>
        <w:jc w:val="both"/>
        <w:rPr>
          <w:rFonts w:ascii="Times New Roman" w:hAnsi="Times New Roman" w:cs="Times New Roman"/>
          <w:sz w:val="28"/>
          <w:szCs w:val="28"/>
        </w:rPr>
      </w:pPr>
      <w:r w:rsidRPr="00E93C91">
        <w:rPr>
          <w:rFonts w:ascii="Times New Roman" w:hAnsi="Times New Roman" w:cs="Times New Roman"/>
          <w:sz w:val="28"/>
          <w:szCs w:val="28"/>
        </w:rPr>
        <w:t xml:space="preserve">Bước công việc tổ chức, lưu trữ tài liệu số: Định mức </w:t>
      </w:r>
      <w:r w:rsidRPr="00E93C91">
        <w:rPr>
          <w:rFonts w:ascii="Times New Roman" w:hAnsi="Times New Roman" w:cs="Times New Roman"/>
          <w:sz w:val="28"/>
          <w:szCs w:val="28"/>
          <w:lang w:val="vi-VN"/>
        </w:rPr>
        <w:t xml:space="preserve">Biên mục, nhập nội dung dữ liệu đặc tả (bước này áp dụng định mức công việc Nhập, đối soát dữ liệu quy định tại </w:t>
      </w:r>
      <w:bookmarkStart w:id="3" w:name="dc_15"/>
      <w:r w:rsidRPr="00E93C91">
        <w:rPr>
          <w:rFonts w:ascii="Times New Roman" w:hAnsi="Times New Roman" w:cs="Times New Roman"/>
          <w:sz w:val="28"/>
          <w:szCs w:val="28"/>
          <w:lang w:val="vi-VN"/>
        </w:rPr>
        <w:t>Khoản 4 Chương 1 Phần 3 Thông tư số 26/2014/TT-BTNMT</w:t>
      </w:r>
      <w:bookmarkEnd w:id="3"/>
      <w:r w:rsidRPr="00E93C91">
        <w:rPr>
          <w:rFonts w:ascii="Times New Roman" w:hAnsi="Times New Roman" w:cs="Times New Roman"/>
          <w:sz w:val="28"/>
          <w:szCs w:val="28"/>
          <w:lang w:val="vi-VN"/>
        </w:rPr>
        <w:t>)</w:t>
      </w:r>
      <w:r w:rsidRPr="00E93C91">
        <w:rPr>
          <w:rFonts w:ascii="Times New Roman" w:hAnsi="Times New Roman" w:cs="Times New Roman"/>
          <w:sz w:val="28"/>
          <w:szCs w:val="28"/>
        </w:rPr>
        <w:t>.</w:t>
      </w:r>
    </w:p>
    <w:p w14:paraId="0FE9EB03" w14:textId="0C951740" w:rsidR="000D5A00" w:rsidRPr="00E93C91" w:rsidRDefault="000D5A00" w:rsidP="00F52CA8">
      <w:pPr>
        <w:spacing w:before="120" w:after="120" w:line="240" w:lineRule="auto"/>
        <w:ind w:firstLine="709"/>
        <w:jc w:val="both"/>
        <w:rPr>
          <w:rFonts w:ascii="Times New Roman" w:hAnsi="Times New Roman" w:cs="Times New Roman"/>
          <w:sz w:val="28"/>
          <w:szCs w:val="28"/>
        </w:rPr>
      </w:pPr>
      <w:r w:rsidRPr="00E93C91">
        <w:rPr>
          <w:rFonts w:ascii="Times New Roman" w:hAnsi="Times New Roman" w:cs="Times New Roman"/>
          <w:sz w:val="28"/>
          <w:szCs w:val="28"/>
        </w:rPr>
        <w:t xml:space="preserve">Bước công việc bảo quản kho lưu trữ tài liệu: </w:t>
      </w:r>
      <w:r w:rsidRPr="00E93C91">
        <w:rPr>
          <w:rFonts w:ascii="Times New Roman" w:hAnsi="Times New Roman" w:cs="Times New Roman"/>
          <w:sz w:val="28"/>
          <w:szCs w:val="28"/>
          <w:lang w:val="vi-VN"/>
        </w:rPr>
        <w:t>Định mức lao động tính cho kho bảo quản tài liệu lưu trữ là kho thông thường</w:t>
      </w:r>
      <w:r w:rsidR="00D31CFF" w:rsidRPr="00E93C91">
        <w:rPr>
          <w:rFonts w:ascii="Times New Roman" w:hAnsi="Times New Roman" w:cs="Times New Roman"/>
          <w:sz w:val="28"/>
          <w:szCs w:val="28"/>
        </w:rPr>
        <w:t xml:space="preserve"> là 1,20</w:t>
      </w:r>
      <w:r w:rsidRPr="00E93C91">
        <w:rPr>
          <w:rFonts w:ascii="Times New Roman" w:hAnsi="Times New Roman" w:cs="Times New Roman"/>
          <w:sz w:val="28"/>
          <w:szCs w:val="28"/>
        </w:rPr>
        <w:t>.</w:t>
      </w:r>
    </w:p>
    <w:p w14:paraId="652504AE" w14:textId="5EAC1234" w:rsidR="000D5A00" w:rsidRPr="00E93C91" w:rsidRDefault="000D5A00" w:rsidP="00F52CA8">
      <w:pPr>
        <w:spacing w:before="120" w:after="120" w:line="240" w:lineRule="auto"/>
        <w:ind w:firstLine="709"/>
        <w:jc w:val="both"/>
        <w:rPr>
          <w:rFonts w:ascii="Times New Roman" w:hAnsi="Times New Roman" w:cs="Times New Roman"/>
          <w:sz w:val="28"/>
          <w:szCs w:val="28"/>
        </w:rPr>
      </w:pPr>
      <w:r w:rsidRPr="00E93C91">
        <w:rPr>
          <w:rFonts w:ascii="Times New Roman" w:hAnsi="Times New Roman" w:cs="Times New Roman"/>
          <w:sz w:val="28"/>
          <w:szCs w:val="28"/>
        </w:rPr>
        <w:t xml:space="preserve">Bước công việc bảo quản tài liệu lưu trữ dạng giấy: </w:t>
      </w:r>
      <w:r w:rsidRPr="00E93C91">
        <w:rPr>
          <w:rFonts w:ascii="Times New Roman" w:hAnsi="Times New Roman" w:cs="Times New Roman"/>
          <w:sz w:val="28"/>
          <w:szCs w:val="28"/>
          <w:lang w:val="vi-VN"/>
        </w:rPr>
        <w:t>Định mức lao động tính cho kho bảo quản tài liệu lưu trữ là kho thông thường</w:t>
      </w:r>
      <w:r w:rsidR="00D31CFF" w:rsidRPr="00E93C91">
        <w:rPr>
          <w:rFonts w:ascii="Times New Roman" w:hAnsi="Times New Roman" w:cs="Times New Roman"/>
          <w:sz w:val="28"/>
          <w:szCs w:val="28"/>
        </w:rPr>
        <w:t xml:space="preserve"> là 1,20</w:t>
      </w:r>
      <w:r w:rsidRPr="00E93C91">
        <w:rPr>
          <w:rFonts w:ascii="Times New Roman" w:hAnsi="Times New Roman" w:cs="Times New Roman"/>
          <w:sz w:val="28"/>
          <w:szCs w:val="28"/>
        </w:rPr>
        <w:t>.</w:t>
      </w:r>
    </w:p>
    <w:p w14:paraId="70C48E22" w14:textId="1B957FD5" w:rsidR="00D31CFF" w:rsidRPr="00E93C91" w:rsidRDefault="001A7C8B" w:rsidP="00F52CA8">
      <w:pPr>
        <w:spacing w:before="120" w:after="120" w:line="240" w:lineRule="auto"/>
        <w:ind w:firstLine="709"/>
        <w:jc w:val="both"/>
        <w:rPr>
          <w:rFonts w:ascii="Times New Roman" w:hAnsi="Times New Roman" w:cs="Times New Roman"/>
          <w:sz w:val="28"/>
          <w:szCs w:val="28"/>
        </w:rPr>
      </w:pPr>
      <w:r w:rsidRPr="00E93C91">
        <w:rPr>
          <w:rFonts w:ascii="Times New Roman" w:hAnsi="Times New Roman" w:cs="Times New Roman"/>
          <w:sz w:val="28"/>
          <w:szCs w:val="28"/>
        </w:rPr>
        <w:t xml:space="preserve">Bước công việc xây dựng cơ sở dữ liệu tài liệu lưu trữ điện tử: </w:t>
      </w:r>
      <w:r w:rsidRPr="00E93C91">
        <w:rPr>
          <w:rFonts w:ascii="Times New Roman" w:hAnsi="Times New Roman" w:cs="Times New Roman"/>
          <w:sz w:val="28"/>
          <w:szCs w:val="28"/>
          <w:lang w:val="vi-VN"/>
        </w:rPr>
        <w:t xml:space="preserve">Số hóa tài liệu (bước này áp dụng định mức công việc Quét (chụp) tài liệu quy định tại </w:t>
      </w:r>
      <w:bookmarkStart w:id="4" w:name="dc_17"/>
      <w:r w:rsidRPr="00E93C91">
        <w:rPr>
          <w:rFonts w:ascii="Times New Roman" w:hAnsi="Times New Roman" w:cs="Times New Roman"/>
          <w:sz w:val="28"/>
          <w:szCs w:val="28"/>
          <w:lang w:val="vi-VN"/>
        </w:rPr>
        <w:t>Điểm 4.2, Khoản 4, Chương I, Phần 3, Thông tư số 26/2014/TT-BTNMT</w:t>
      </w:r>
      <w:bookmarkEnd w:id="4"/>
      <w:r w:rsidRPr="00E93C91">
        <w:rPr>
          <w:rFonts w:ascii="Times New Roman" w:hAnsi="Times New Roman" w:cs="Times New Roman"/>
          <w:sz w:val="28"/>
          <w:szCs w:val="28"/>
          <w:lang w:val="vi-VN"/>
        </w:rPr>
        <w:t>)</w:t>
      </w:r>
      <w:r w:rsidRPr="00E93C91">
        <w:rPr>
          <w:rFonts w:ascii="Times New Roman" w:hAnsi="Times New Roman" w:cs="Times New Roman"/>
          <w:sz w:val="28"/>
          <w:szCs w:val="28"/>
        </w:rPr>
        <w:t xml:space="preserve">; </w:t>
      </w:r>
      <w:r w:rsidRPr="00E93C91">
        <w:rPr>
          <w:rFonts w:ascii="Times New Roman" w:hAnsi="Times New Roman" w:cs="Times New Roman"/>
          <w:sz w:val="28"/>
          <w:szCs w:val="28"/>
          <w:lang w:val="vi-VN"/>
        </w:rPr>
        <w:t xml:space="preserve">Cập nhật tài liệu số hóa vào cơ sở dữ liệu tài liệu lưu trữ điện tử (bước này áp dụng định mức công việc Xử lý và đính kèm tài liệu quét quy định tại </w:t>
      </w:r>
      <w:bookmarkStart w:id="5" w:name="dc_18"/>
      <w:r w:rsidRPr="00E93C91">
        <w:rPr>
          <w:rFonts w:ascii="Times New Roman" w:hAnsi="Times New Roman" w:cs="Times New Roman"/>
          <w:sz w:val="28"/>
          <w:szCs w:val="28"/>
          <w:lang w:val="vi-VN"/>
        </w:rPr>
        <w:t>Điểm 4.2, Khoản 4, Chương I, Phần 3, Thông tư số 26/2014/TT-BTNMT</w:t>
      </w:r>
      <w:bookmarkEnd w:id="5"/>
      <w:r w:rsidRPr="00E93C91">
        <w:rPr>
          <w:rFonts w:ascii="Times New Roman" w:hAnsi="Times New Roman" w:cs="Times New Roman"/>
          <w:sz w:val="28"/>
          <w:szCs w:val="28"/>
          <w:lang w:val="vi-VN"/>
        </w:rPr>
        <w:t>)</w:t>
      </w:r>
      <w:r w:rsidRPr="00E93C91">
        <w:rPr>
          <w:rFonts w:ascii="Times New Roman" w:hAnsi="Times New Roman" w:cs="Times New Roman"/>
          <w:sz w:val="28"/>
          <w:szCs w:val="28"/>
        </w:rPr>
        <w:t>.</w:t>
      </w:r>
    </w:p>
    <w:p w14:paraId="6F0874C6" w14:textId="064F47C5" w:rsidR="00EE058D" w:rsidRPr="00E93C91" w:rsidRDefault="00242233" w:rsidP="00F52CA8">
      <w:pPr>
        <w:spacing w:before="120" w:after="120" w:line="240" w:lineRule="auto"/>
        <w:jc w:val="both"/>
        <w:rPr>
          <w:rFonts w:ascii="Times New Roman" w:hAnsi="Times New Roman" w:cs="Times New Roman"/>
          <w:b/>
          <w:i/>
          <w:sz w:val="28"/>
          <w:szCs w:val="28"/>
        </w:rPr>
      </w:pPr>
      <w:r w:rsidRPr="00E93C91">
        <w:rPr>
          <w:rFonts w:ascii="Times New Roman" w:hAnsi="Times New Roman" w:cs="Times New Roman"/>
          <w:sz w:val="28"/>
          <w:szCs w:val="28"/>
          <w:lang w:val="vi-VN"/>
        </w:rPr>
        <w:tab/>
      </w:r>
      <w:r w:rsidR="00EE058D" w:rsidRPr="00E93C91">
        <w:rPr>
          <w:rFonts w:ascii="Times New Roman" w:hAnsi="Times New Roman" w:cs="Times New Roman"/>
          <w:b/>
          <w:i/>
          <w:sz w:val="28"/>
          <w:szCs w:val="28"/>
        </w:rPr>
        <w:t>b) Chi phí q</w:t>
      </w:r>
      <w:r w:rsidR="00EE058D" w:rsidRPr="00E93C91">
        <w:rPr>
          <w:rFonts w:ascii="Times New Roman" w:hAnsi="Times New Roman" w:cs="Times New Roman"/>
          <w:b/>
          <w:bCs/>
          <w:i/>
          <w:sz w:val="28"/>
          <w:szCs w:val="28"/>
          <w:lang w:val="vi-VN"/>
        </w:rPr>
        <w:t>uy định về thời gian nghỉ được hưởng nguyên lương đối với lao động trực tiếp</w:t>
      </w:r>
    </w:p>
    <w:p w14:paraId="3274C3B2" w14:textId="77777777" w:rsidR="00EE058D" w:rsidRPr="00E93C91" w:rsidRDefault="00EE058D" w:rsidP="00F52CA8">
      <w:pPr>
        <w:spacing w:before="120" w:after="120" w:line="240" w:lineRule="auto"/>
        <w:ind w:firstLine="709"/>
        <w:rPr>
          <w:rFonts w:ascii="Times New Roman" w:hAnsi="Times New Roman" w:cs="Times New Roman"/>
          <w:sz w:val="28"/>
          <w:szCs w:val="28"/>
        </w:rPr>
      </w:pPr>
      <w:r w:rsidRPr="00E93C91">
        <w:rPr>
          <w:rFonts w:ascii="Times New Roman" w:hAnsi="Times New Roman" w:cs="Times New Roman"/>
          <w:sz w:val="28"/>
          <w:szCs w:val="28"/>
          <w:lang w:val="vi-VN"/>
        </w:rPr>
        <w:t>Thời gian nghỉ được hưởng nguyên lương theo chế độ đối với lao động trực tiếp được tính là 34 ngày trên tổng số 312 ngày làm việc của 01 năm.</w:t>
      </w:r>
    </w:p>
    <w:tbl>
      <w:tblPr>
        <w:tblW w:w="4970" w:type="pct"/>
        <w:jc w:val="center"/>
        <w:tblCellMar>
          <w:left w:w="0" w:type="dxa"/>
          <w:right w:w="0" w:type="dxa"/>
        </w:tblCellMar>
        <w:tblLook w:val="04A0" w:firstRow="1" w:lastRow="0" w:firstColumn="1" w:lastColumn="0" w:noHBand="0" w:noVBand="1"/>
      </w:tblPr>
      <w:tblGrid>
        <w:gridCol w:w="3012"/>
        <w:gridCol w:w="893"/>
        <w:gridCol w:w="2539"/>
        <w:gridCol w:w="871"/>
        <w:gridCol w:w="1702"/>
      </w:tblGrid>
      <w:tr w:rsidR="00E93C91" w:rsidRPr="00E93C91" w14:paraId="34F2A4D5" w14:textId="77777777" w:rsidTr="00B45C5C">
        <w:trPr>
          <w:trHeight w:val="601"/>
          <w:jc w:val="center"/>
        </w:trPr>
        <w:tc>
          <w:tcPr>
            <w:tcW w:w="1670" w:type="pct"/>
            <w:vMerge w:val="restart"/>
            <w:shd w:val="clear" w:color="auto" w:fill="auto"/>
            <w:tcMar>
              <w:top w:w="0" w:type="dxa"/>
              <w:left w:w="0" w:type="dxa"/>
              <w:bottom w:w="0" w:type="dxa"/>
              <w:right w:w="0" w:type="dxa"/>
            </w:tcMar>
            <w:vAlign w:val="center"/>
          </w:tcPr>
          <w:p w14:paraId="44844F91" w14:textId="77777777" w:rsidR="00EE058D" w:rsidRPr="00E93C91" w:rsidRDefault="00EE058D" w:rsidP="00EE058D">
            <w:pPr>
              <w:spacing w:before="120" w:after="0"/>
              <w:jc w:val="center"/>
              <w:rPr>
                <w:rFonts w:ascii="Times New Roman" w:hAnsi="Times New Roman" w:cs="Times New Roman"/>
                <w:sz w:val="26"/>
                <w:szCs w:val="26"/>
              </w:rPr>
            </w:pPr>
            <w:r w:rsidRPr="00E93C91">
              <w:rPr>
                <w:rFonts w:ascii="Times New Roman" w:hAnsi="Times New Roman" w:cs="Times New Roman"/>
                <w:sz w:val="26"/>
                <w:szCs w:val="26"/>
                <w:lang w:val="vi-VN"/>
              </w:rPr>
              <w:t>Mức hao phí thời gian nghỉ được hưởng nguyên lương</w:t>
            </w:r>
          </w:p>
        </w:tc>
        <w:tc>
          <w:tcPr>
            <w:tcW w:w="495" w:type="pct"/>
            <w:vMerge w:val="restart"/>
            <w:shd w:val="clear" w:color="auto" w:fill="auto"/>
            <w:tcMar>
              <w:top w:w="0" w:type="dxa"/>
              <w:left w:w="0" w:type="dxa"/>
              <w:bottom w:w="0" w:type="dxa"/>
              <w:right w:w="0" w:type="dxa"/>
            </w:tcMar>
            <w:vAlign w:val="center"/>
          </w:tcPr>
          <w:p w14:paraId="22ED4798" w14:textId="77777777" w:rsidR="00EE058D" w:rsidRPr="00E93C91" w:rsidRDefault="00EE058D" w:rsidP="00EE058D">
            <w:pPr>
              <w:spacing w:before="120" w:after="0"/>
              <w:jc w:val="center"/>
              <w:rPr>
                <w:rFonts w:ascii="Times New Roman" w:hAnsi="Times New Roman" w:cs="Times New Roman"/>
                <w:sz w:val="26"/>
                <w:szCs w:val="26"/>
              </w:rPr>
            </w:pPr>
            <w:r w:rsidRPr="00E93C91">
              <w:rPr>
                <w:rFonts w:ascii="Times New Roman" w:hAnsi="Times New Roman" w:cs="Times New Roman"/>
                <w:sz w:val="26"/>
                <w:szCs w:val="26"/>
              </w:rPr>
              <w:t>=</w:t>
            </w:r>
          </w:p>
        </w:tc>
        <w:tc>
          <w:tcPr>
            <w:tcW w:w="1408" w:type="pct"/>
            <w:vMerge w:val="restart"/>
            <w:shd w:val="clear" w:color="auto" w:fill="auto"/>
            <w:tcMar>
              <w:top w:w="0" w:type="dxa"/>
              <w:left w:w="0" w:type="dxa"/>
              <w:bottom w:w="0" w:type="dxa"/>
              <w:right w:w="0" w:type="dxa"/>
            </w:tcMar>
            <w:vAlign w:val="center"/>
          </w:tcPr>
          <w:p w14:paraId="03E04480" w14:textId="77777777" w:rsidR="00EE058D" w:rsidRPr="00E93C91" w:rsidRDefault="00EE058D" w:rsidP="00EE058D">
            <w:pPr>
              <w:spacing w:before="120" w:after="0"/>
              <w:jc w:val="center"/>
              <w:rPr>
                <w:rFonts w:ascii="Times New Roman" w:hAnsi="Times New Roman" w:cs="Times New Roman"/>
                <w:sz w:val="26"/>
                <w:szCs w:val="26"/>
              </w:rPr>
            </w:pPr>
            <w:r w:rsidRPr="00E93C91">
              <w:rPr>
                <w:rFonts w:ascii="Times New Roman" w:hAnsi="Times New Roman" w:cs="Times New Roman"/>
                <w:sz w:val="26"/>
                <w:szCs w:val="26"/>
                <w:lang w:val="vi-VN"/>
              </w:rPr>
              <w:t>Mức hao phí lao động kỹ thuật trực tiếp</w:t>
            </w:r>
          </w:p>
        </w:tc>
        <w:tc>
          <w:tcPr>
            <w:tcW w:w="483" w:type="pct"/>
            <w:vMerge w:val="restart"/>
            <w:shd w:val="clear" w:color="auto" w:fill="auto"/>
            <w:tcMar>
              <w:top w:w="0" w:type="dxa"/>
              <w:left w:w="0" w:type="dxa"/>
              <w:bottom w:w="0" w:type="dxa"/>
              <w:right w:w="0" w:type="dxa"/>
            </w:tcMar>
            <w:vAlign w:val="center"/>
          </w:tcPr>
          <w:p w14:paraId="4DB09168" w14:textId="77777777" w:rsidR="00EE058D" w:rsidRPr="00E93C91" w:rsidRDefault="00EE058D" w:rsidP="00EE058D">
            <w:pPr>
              <w:spacing w:before="120" w:after="0"/>
              <w:jc w:val="center"/>
              <w:rPr>
                <w:rFonts w:ascii="Times New Roman" w:hAnsi="Times New Roman" w:cs="Times New Roman"/>
                <w:sz w:val="26"/>
                <w:szCs w:val="26"/>
              </w:rPr>
            </w:pPr>
            <w:r w:rsidRPr="00E93C91">
              <w:rPr>
                <w:rFonts w:ascii="Times New Roman" w:hAnsi="Times New Roman" w:cs="Times New Roman"/>
                <w:sz w:val="26"/>
                <w:szCs w:val="26"/>
              </w:rPr>
              <w:t>x</w:t>
            </w:r>
          </w:p>
        </w:tc>
        <w:tc>
          <w:tcPr>
            <w:tcW w:w="944" w:type="pct"/>
            <w:shd w:val="clear" w:color="auto" w:fill="auto"/>
            <w:tcMar>
              <w:top w:w="0" w:type="dxa"/>
              <w:left w:w="0" w:type="dxa"/>
              <w:bottom w:w="0" w:type="dxa"/>
              <w:right w:w="0" w:type="dxa"/>
            </w:tcMar>
            <w:vAlign w:val="center"/>
          </w:tcPr>
          <w:p w14:paraId="09C71162" w14:textId="77777777" w:rsidR="00EE058D" w:rsidRPr="00E93C91" w:rsidRDefault="00EE058D" w:rsidP="00EE058D">
            <w:pPr>
              <w:spacing w:before="120" w:after="0"/>
              <w:ind w:firstLine="709"/>
              <w:jc w:val="center"/>
              <w:rPr>
                <w:rFonts w:ascii="Times New Roman" w:hAnsi="Times New Roman" w:cs="Times New Roman"/>
                <w:sz w:val="26"/>
                <w:szCs w:val="26"/>
              </w:rPr>
            </w:pPr>
            <w:r w:rsidRPr="00E93C91">
              <w:rPr>
                <w:rFonts w:ascii="Times New Roman" w:hAnsi="Times New Roman" w:cs="Times New Roman"/>
                <w:sz w:val="26"/>
                <w:szCs w:val="26"/>
              </w:rPr>
              <w:t>34</w:t>
            </w:r>
          </w:p>
        </w:tc>
      </w:tr>
      <w:tr w:rsidR="00E93C91" w:rsidRPr="00E93C91" w14:paraId="646B44FB" w14:textId="77777777" w:rsidTr="00B45C5C">
        <w:trPr>
          <w:trHeight w:val="622"/>
          <w:jc w:val="center"/>
        </w:trPr>
        <w:tc>
          <w:tcPr>
            <w:tcW w:w="1670" w:type="pct"/>
            <w:vMerge/>
            <w:shd w:val="clear" w:color="auto" w:fill="auto"/>
            <w:vAlign w:val="center"/>
          </w:tcPr>
          <w:p w14:paraId="5BAA5D1D" w14:textId="77777777" w:rsidR="00EE058D" w:rsidRPr="00E93C91" w:rsidRDefault="00EE058D" w:rsidP="00EE058D">
            <w:pPr>
              <w:spacing w:before="120" w:after="0"/>
              <w:ind w:firstLine="709"/>
              <w:jc w:val="center"/>
              <w:rPr>
                <w:rFonts w:ascii="Times New Roman" w:hAnsi="Times New Roman" w:cs="Times New Roman"/>
                <w:sz w:val="26"/>
                <w:szCs w:val="26"/>
              </w:rPr>
            </w:pPr>
          </w:p>
        </w:tc>
        <w:tc>
          <w:tcPr>
            <w:tcW w:w="0" w:type="auto"/>
            <w:vMerge/>
            <w:shd w:val="clear" w:color="auto" w:fill="auto"/>
            <w:vAlign w:val="center"/>
          </w:tcPr>
          <w:p w14:paraId="31C3044B" w14:textId="77777777" w:rsidR="00EE058D" w:rsidRPr="00E93C91" w:rsidRDefault="00EE058D" w:rsidP="00EE058D">
            <w:pPr>
              <w:spacing w:before="120" w:after="0"/>
              <w:ind w:firstLine="709"/>
              <w:jc w:val="center"/>
              <w:rPr>
                <w:rFonts w:ascii="Times New Roman" w:hAnsi="Times New Roman" w:cs="Times New Roman"/>
                <w:sz w:val="26"/>
                <w:szCs w:val="26"/>
              </w:rPr>
            </w:pPr>
          </w:p>
        </w:tc>
        <w:tc>
          <w:tcPr>
            <w:tcW w:w="1408" w:type="pct"/>
            <w:vMerge/>
            <w:shd w:val="clear" w:color="auto" w:fill="auto"/>
            <w:vAlign w:val="center"/>
          </w:tcPr>
          <w:p w14:paraId="21887429" w14:textId="77777777" w:rsidR="00EE058D" w:rsidRPr="00E93C91" w:rsidRDefault="00EE058D" w:rsidP="00EE058D">
            <w:pPr>
              <w:spacing w:before="120" w:after="0"/>
              <w:ind w:firstLine="709"/>
              <w:jc w:val="center"/>
              <w:rPr>
                <w:rFonts w:ascii="Times New Roman" w:hAnsi="Times New Roman" w:cs="Times New Roman"/>
                <w:sz w:val="26"/>
                <w:szCs w:val="26"/>
              </w:rPr>
            </w:pPr>
          </w:p>
        </w:tc>
        <w:tc>
          <w:tcPr>
            <w:tcW w:w="0" w:type="auto"/>
            <w:vMerge/>
            <w:shd w:val="clear" w:color="auto" w:fill="auto"/>
            <w:vAlign w:val="center"/>
          </w:tcPr>
          <w:p w14:paraId="0ADD043E" w14:textId="77777777" w:rsidR="00EE058D" w:rsidRPr="00E93C91" w:rsidRDefault="00EE058D" w:rsidP="00EE058D">
            <w:pPr>
              <w:spacing w:before="120" w:after="0"/>
              <w:ind w:firstLine="709"/>
              <w:jc w:val="center"/>
              <w:rPr>
                <w:rFonts w:ascii="Times New Roman" w:hAnsi="Times New Roman" w:cs="Times New Roman"/>
                <w:sz w:val="26"/>
                <w:szCs w:val="26"/>
              </w:rPr>
            </w:pPr>
          </w:p>
        </w:tc>
        <w:tc>
          <w:tcPr>
            <w:tcW w:w="944" w:type="pct"/>
            <w:shd w:val="clear" w:color="auto" w:fill="auto"/>
            <w:tcMar>
              <w:top w:w="0" w:type="dxa"/>
              <w:left w:w="0" w:type="dxa"/>
              <w:bottom w:w="0" w:type="dxa"/>
              <w:right w:w="0" w:type="dxa"/>
            </w:tcMar>
            <w:vAlign w:val="center"/>
          </w:tcPr>
          <w:p w14:paraId="5BF86C9A" w14:textId="77777777" w:rsidR="00EE058D" w:rsidRPr="00E93C91" w:rsidRDefault="00B45C5C" w:rsidP="00EE058D">
            <w:pPr>
              <w:spacing w:before="120" w:after="0"/>
              <w:ind w:firstLine="709"/>
              <w:jc w:val="center"/>
              <w:rPr>
                <w:rFonts w:ascii="Times New Roman" w:hAnsi="Times New Roman" w:cs="Times New Roman"/>
                <w:sz w:val="26"/>
                <w:szCs w:val="26"/>
              </w:rPr>
            </w:pPr>
            <w:r w:rsidRPr="00E93C91">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2B0686FA" wp14:editId="3474F6CB">
                      <wp:simplePos x="0" y="0"/>
                      <wp:positionH relativeFrom="column">
                        <wp:posOffset>464820</wp:posOffset>
                      </wp:positionH>
                      <wp:positionV relativeFrom="paragraph">
                        <wp:posOffset>-12700</wp:posOffset>
                      </wp:positionV>
                      <wp:extent cx="514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9C83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1pt" to="77.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" strokecolor="black [3200]" strokeweight=".5pt">
                      <v:stroke joinstyle="miter"/>
                    </v:line>
                  </w:pict>
                </mc:Fallback>
              </mc:AlternateContent>
            </w:r>
            <w:r w:rsidR="00EE058D" w:rsidRPr="00E93C91">
              <w:rPr>
                <w:rFonts w:ascii="Times New Roman" w:hAnsi="Times New Roman" w:cs="Times New Roman"/>
                <w:sz w:val="26"/>
                <w:szCs w:val="26"/>
              </w:rPr>
              <w:t>312</w:t>
            </w:r>
          </w:p>
        </w:tc>
      </w:tr>
    </w:tbl>
    <w:p w14:paraId="024246C0" w14:textId="77777777" w:rsidR="00EE058D" w:rsidRPr="00E93C91" w:rsidRDefault="00EE058D" w:rsidP="00F52CA8">
      <w:pPr>
        <w:spacing w:before="60" w:after="60" w:line="240" w:lineRule="auto"/>
        <w:ind w:firstLine="709"/>
        <w:jc w:val="both"/>
        <w:rPr>
          <w:rFonts w:ascii="Times New Roman" w:hAnsi="Times New Roman" w:cs="Times New Roman"/>
          <w:sz w:val="28"/>
          <w:szCs w:val="28"/>
          <w:lang w:val="vi-VN"/>
        </w:rPr>
      </w:pPr>
      <w:r w:rsidRPr="00E93C91">
        <w:rPr>
          <w:rFonts w:ascii="Times New Roman" w:hAnsi="Times New Roman" w:cs="Times New Roman"/>
          <w:sz w:val="28"/>
          <w:szCs w:val="28"/>
          <w:lang w:val="vi-VN"/>
        </w:rPr>
        <w:t>Mức hao phí thời gian nghỉ được hưởng nguyên lương được áp dụng đối với tất cả các bước công việc.</w:t>
      </w:r>
    </w:p>
    <w:p w14:paraId="43A0E700" w14:textId="77777777" w:rsidR="00EE058D" w:rsidRPr="00E93C91" w:rsidRDefault="00EE058D" w:rsidP="00F52CA8">
      <w:pPr>
        <w:spacing w:before="60" w:after="60" w:line="240" w:lineRule="auto"/>
        <w:ind w:firstLine="709"/>
        <w:jc w:val="both"/>
        <w:rPr>
          <w:rFonts w:ascii="Times New Roman" w:hAnsi="Times New Roman" w:cs="Times New Roman"/>
          <w:sz w:val="28"/>
          <w:szCs w:val="28"/>
        </w:rPr>
      </w:pPr>
      <w:r w:rsidRPr="00E93C91">
        <w:rPr>
          <w:rFonts w:ascii="Times New Roman" w:hAnsi="Times New Roman" w:cs="Times New Roman"/>
          <w:sz w:val="28"/>
          <w:szCs w:val="28"/>
          <w:lang w:val="vi-VN"/>
        </w:rPr>
        <w:t>Định mức lao động bao gồm hao phí thời gian lao động cần thiết của người lao động trực tiếp sản xuất ra một sản phẩm và thời gian nghỉ được hưởng nguyên lương theo quy định của pháp luật hiện hành.</w:t>
      </w:r>
    </w:p>
    <w:p w14:paraId="0ECACE23" w14:textId="77777777" w:rsidR="00DA7E4D" w:rsidRPr="00E93C91" w:rsidRDefault="00B822DF" w:rsidP="00F52CA8">
      <w:pPr>
        <w:spacing w:before="60" w:after="60" w:line="240" w:lineRule="auto"/>
        <w:ind w:firstLine="720"/>
        <w:jc w:val="both"/>
        <w:rPr>
          <w:rFonts w:ascii="Times New Roman" w:hAnsi="Times New Roman" w:cs="Times New Roman"/>
          <w:b/>
          <w:i/>
          <w:sz w:val="28"/>
          <w:szCs w:val="28"/>
        </w:rPr>
      </w:pPr>
      <w:r w:rsidRPr="00E93C91">
        <w:rPr>
          <w:rFonts w:ascii="Times New Roman" w:hAnsi="Times New Roman" w:cs="Times New Roman"/>
          <w:b/>
          <w:i/>
          <w:sz w:val="28"/>
          <w:szCs w:val="28"/>
        </w:rPr>
        <w:t>c</w:t>
      </w:r>
      <w:r w:rsidR="00DA7E4D" w:rsidRPr="00E93C91">
        <w:rPr>
          <w:rFonts w:ascii="Times New Roman" w:hAnsi="Times New Roman" w:cs="Times New Roman"/>
          <w:b/>
          <w:i/>
          <w:sz w:val="28"/>
          <w:szCs w:val="28"/>
        </w:rPr>
        <w:t>) Chi phí dụng cụ</w:t>
      </w:r>
    </w:p>
    <w:p w14:paraId="1552C4BF" w14:textId="77777777" w:rsidR="00DA7E4D" w:rsidRPr="00E93C91" w:rsidRDefault="00DA7E4D" w:rsidP="00F52CA8">
      <w:pPr>
        <w:spacing w:before="60" w:after="60" w:line="240" w:lineRule="auto"/>
        <w:ind w:firstLine="720"/>
        <w:jc w:val="both"/>
        <w:rPr>
          <w:rFonts w:ascii="Times New Roman" w:hAnsi="Times New Roman" w:cs="Times New Roman"/>
          <w:spacing w:val="-8"/>
          <w:sz w:val="28"/>
          <w:szCs w:val="28"/>
        </w:rPr>
      </w:pPr>
      <w:r w:rsidRPr="00E93C91">
        <w:rPr>
          <w:rFonts w:ascii="Times New Roman" w:hAnsi="Times New Roman" w:cs="Times New Roman"/>
          <w:spacing w:val="-8"/>
          <w:sz w:val="28"/>
          <w:szCs w:val="28"/>
        </w:rPr>
        <w:lastRenderedPageBreak/>
        <w:t xml:space="preserve">Bao gồm </w:t>
      </w:r>
      <w:r w:rsidRPr="00E93C91">
        <w:rPr>
          <w:rFonts w:ascii="Times New Roman" w:hAnsi="Times New Roman" w:cs="Times New Roman"/>
          <w:i/>
          <w:spacing w:val="-8"/>
          <w:sz w:val="28"/>
          <w:szCs w:val="28"/>
        </w:rPr>
        <w:t>Chi phí sử dụng dụng cụ</w:t>
      </w:r>
      <w:r w:rsidRPr="00E93C91">
        <w:rPr>
          <w:rFonts w:ascii="Times New Roman" w:hAnsi="Times New Roman" w:cs="Times New Roman"/>
          <w:spacing w:val="-8"/>
          <w:sz w:val="28"/>
          <w:szCs w:val="28"/>
        </w:rPr>
        <w:t xml:space="preserve"> và </w:t>
      </w:r>
      <w:r w:rsidRPr="00E93C91">
        <w:rPr>
          <w:rFonts w:ascii="Times New Roman" w:hAnsi="Times New Roman" w:cs="Times New Roman"/>
          <w:i/>
          <w:spacing w:val="-8"/>
          <w:sz w:val="28"/>
          <w:szCs w:val="28"/>
        </w:rPr>
        <w:t>Chi phí điện năng tiêu thụ của dụng cụ</w:t>
      </w:r>
      <w:r w:rsidRPr="00E93C91">
        <w:rPr>
          <w:rFonts w:ascii="Times New Roman" w:hAnsi="Times New Roman" w:cs="Times New Roman"/>
          <w:spacing w:val="-8"/>
          <w:sz w:val="28"/>
          <w:szCs w:val="28"/>
        </w:rPr>
        <w:t>.</w:t>
      </w:r>
    </w:p>
    <w:p w14:paraId="2352976C" w14:textId="77777777" w:rsidR="005F7100" w:rsidRPr="00E93C91" w:rsidRDefault="005F7100"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b.1) Chi phí sử dụng dụng cụ: Là giá trị công cụ, dụng cụ được phân bổ trong quá trình thực hiện nhiệm vụ, dự án</w:t>
      </w:r>
      <w:r w:rsidR="00DD7196" w:rsidRPr="00E93C91">
        <w:rPr>
          <w:rFonts w:ascii="Times New Roman" w:hAnsi="Times New Roman" w:cs="Times New Roman"/>
          <w:sz w:val="28"/>
          <w:szCs w:val="28"/>
        </w:rPr>
        <w:t>.</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250"/>
        <w:gridCol w:w="593"/>
        <w:gridCol w:w="136"/>
        <w:gridCol w:w="715"/>
        <w:gridCol w:w="2180"/>
        <w:gridCol w:w="513"/>
        <w:gridCol w:w="3112"/>
        <w:gridCol w:w="148"/>
      </w:tblGrid>
      <w:tr w:rsidR="00E93C91" w:rsidRPr="00E93C91" w14:paraId="1A30A5F7" w14:textId="77777777" w:rsidTr="00DD3705">
        <w:tc>
          <w:tcPr>
            <w:tcW w:w="1812" w:type="dxa"/>
            <w:gridSpan w:val="2"/>
            <w:vAlign w:val="center"/>
          </w:tcPr>
          <w:p w14:paraId="3287E161" w14:textId="77777777" w:rsidR="00DD7196" w:rsidRPr="00E93C91" w:rsidRDefault="00DD7196" w:rsidP="00F52CA8">
            <w:pPr>
              <w:spacing w:before="60" w:after="60"/>
              <w:jc w:val="center"/>
              <w:rPr>
                <w:rFonts w:ascii="Times New Roman" w:hAnsi="Times New Roman" w:cs="Times New Roman"/>
                <w:sz w:val="28"/>
                <w:szCs w:val="28"/>
              </w:rPr>
            </w:pPr>
            <w:r w:rsidRPr="00E93C91">
              <w:rPr>
                <w:rFonts w:ascii="Times New Roman" w:hAnsi="Times New Roman" w:cs="Times New Roman"/>
                <w:sz w:val="28"/>
                <w:szCs w:val="28"/>
              </w:rPr>
              <w:t>Chi phí công cụ, dụng cụ</w:t>
            </w:r>
          </w:p>
        </w:tc>
        <w:tc>
          <w:tcPr>
            <w:tcW w:w="593" w:type="dxa"/>
            <w:vAlign w:val="center"/>
          </w:tcPr>
          <w:p w14:paraId="21DE033B" w14:textId="77777777" w:rsidR="00DD7196" w:rsidRPr="00E93C91" w:rsidRDefault="00DD7196" w:rsidP="00F52CA8">
            <w:pPr>
              <w:spacing w:before="60" w:after="60"/>
              <w:jc w:val="center"/>
              <w:rPr>
                <w:rFonts w:ascii="Times New Roman" w:hAnsi="Times New Roman" w:cs="Times New Roman"/>
                <w:sz w:val="28"/>
                <w:szCs w:val="28"/>
              </w:rPr>
            </w:pPr>
            <w:r w:rsidRPr="00E93C91">
              <w:rPr>
                <w:rFonts w:ascii="Times New Roman" w:hAnsi="Times New Roman" w:cs="Times New Roman"/>
                <w:sz w:val="28"/>
                <w:szCs w:val="28"/>
              </w:rPr>
              <w:t>=</w:t>
            </w:r>
          </w:p>
        </w:tc>
        <w:tc>
          <w:tcPr>
            <w:tcW w:w="3031" w:type="dxa"/>
            <w:gridSpan w:val="3"/>
            <w:vAlign w:val="center"/>
          </w:tcPr>
          <w:p w14:paraId="5D2EC2BA" w14:textId="77777777" w:rsidR="00DD7196" w:rsidRPr="00E93C91" w:rsidRDefault="00DD7196" w:rsidP="00F52CA8">
            <w:pPr>
              <w:spacing w:before="60" w:after="60"/>
              <w:jc w:val="center"/>
              <w:rPr>
                <w:rFonts w:ascii="Times New Roman" w:hAnsi="Times New Roman" w:cs="Times New Roman"/>
                <w:sz w:val="28"/>
                <w:szCs w:val="28"/>
              </w:rPr>
            </w:pPr>
            <w:r w:rsidRPr="00E93C91">
              <w:rPr>
                <w:rFonts w:ascii="Times New Roman" w:hAnsi="Times New Roman" w:cs="Times New Roman"/>
                <w:sz w:val="28"/>
                <w:szCs w:val="28"/>
              </w:rPr>
              <w:t>Số ca sử dụng công cụ, dụng cụ theo định mức</w:t>
            </w:r>
          </w:p>
        </w:tc>
        <w:tc>
          <w:tcPr>
            <w:tcW w:w="513" w:type="dxa"/>
            <w:vAlign w:val="center"/>
          </w:tcPr>
          <w:p w14:paraId="65F140AB" w14:textId="77777777" w:rsidR="00DD7196" w:rsidRPr="00E93C91" w:rsidRDefault="00DD7196" w:rsidP="00F52CA8">
            <w:pPr>
              <w:spacing w:before="60" w:after="60"/>
              <w:jc w:val="center"/>
              <w:rPr>
                <w:rFonts w:ascii="Times New Roman" w:hAnsi="Times New Roman" w:cs="Times New Roman"/>
                <w:sz w:val="28"/>
                <w:szCs w:val="28"/>
              </w:rPr>
            </w:pPr>
            <w:r w:rsidRPr="00E93C91">
              <w:rPr>
                <w:rFonts w:ascii="Times New Roman" w:hAnsi="Times New Roman" w:cs="Times New Roman"/>
                <w:sz w:val="28"/>
                <w:szCs w:val="28"/>
              </w:rPr>
              <w:t>x</w:t>
            </w:r>
          </w:p>
        </w:tc>
        <w:tc>
          <w:tcPr>
            <w:tcW w:w="3260" w:type="dxa"/>
            <w:gridSpan w:val="2"/>
            <w:vAlign w:val="center"/>
          </w:tcPr>
          <w:p w14:paraId="734ADDEC" w14:textId="77777777" w:rsidR="00DD7196" w:rsidRPr="00E93C91" w:rsidRDefault="00DD7196" w:rsidP="00F52CA8">
            <w:pPr>
              <w:spacing w:before="60" w:after="60"/>
              <w:jc w:val="center"/>
              <w:rPr>
                <w:rFonts w:ascii="Times New Roman" w:hAnsi="Times New Roman" w:cs="Times New Roman"/>
                <w:sz w:val="28"/>
                <w:szCs w:val="28"/>
              </w:rPr>
            </w:pPr>
            <w:r w:rsidRPr="00E93C91">
              <w:rPr>
                <w:rFonts w:ascii="Times New Roman" w:hAnsi="Times New Roman" w:cs="Times New Roman"/>
                <w:sz w:val="28"/>
                <w:szCs w:val="28"/>
              </w:rPr>
              <w:t>Đơn giá sử dụng công cụ, dụng cụ phân bổ cho 01 ca</w:t>
            </w:r>
          </w:p>
        </w:tc>
      </w:tr>
      <w:tr w:rsidR="00E93C91" w:rsidRPr="00E93C91" w14:paraId="1BA4D952" w14:textId="77777777" w:rsidTr="00DD3705">
        <w:trPr>
          <w:gridBefore w:val="1"/>
          <w:gridAfter w:val="1"/>
          <w:wBefore w:w="562" w:type="dxa"/>
          <w:wAfter w:w="148" w:type="dxa"/>
        </w:trPr>
        <w:tc>
          <w:tcPr>
            <w:tcW w:w="1979" w:type="dxa"/>
            <w:gridSpan w:val="3"/>
            <w:vMerge w:val="restart"/>
            <w:vAlign w:val="center"/>
          </w:tcPr>
          <w:p w14:paraId="575BB8B0" w14:textId="77777777" w:rsidR="00DA7E4D" w:rsidRPr="00E93C91" w:rsidRDefault="00DA7E4D" w:rsidP="00F52CA8">
            <w:pPr>
              <w:spacing w:before="60" w:after="60"/>
              <w:jc w:val="center"/>
              <w:rPr>
                <w:rFonts w:ascii="Times New Roman" w:hAnsi="Times New Roman" w:cs="Times New Roman"/>
                <w:sz w:val="28"/>
                <w:szCs w:val="28"/>
              </w:rPr>
            </w:pPr>
            <w:r w:rsidRPr="00E93C91">
              <w:rPr>
                <w:rFonts w:ascii="Times New Roman" w:hAnsi="Times New Roman" w:cs="Times New Roman"/>
                <w:sz w:val="28"/>
                <w:szCs w:val="28"/>
              </w:rPr>
              <w:t>Đơn giá sử dụng dụng cụ (đồng/ca)</w:t>
            </w:r>
          </w:p>
        </w:tc>
        <w:tc>
          <w:tcPr>
            <w:tcW w:w="715" w:type="dxa"/>
            <w:vMerge w:val="restart"/>
            <w:vAlign w:val="center"/>
          </w:tcPr>
          <w:p w14:paraId="74C92E79" w14:textId="77777777" w:rsidR="00DA7E4D" w:rsidRPr="00E93C91" w:rsidRDefault="00DA7E4D" w:rsidP="00F52CA8">
            <w:pPr>
              <w:spacing w:before="60" w:after="60"/>
              <w:jc w:val="center"/>
              <w:rPr>
                <w:rFonts w:ascii="Times New Roman" w:hAnsi="Times New Roman" w:cs="Times New Roman"/>
                <w:b/>
                <w:sz w:val="28"/>
                <w:szCs w:val="28"/>
              </w:rPr>
            </w:pPr>
            <w:r w:rsidRPr="00E93C91">
              <w:rPr>
                <w:rFonts w:ascii="Times New Roman" w:hAnsi="Times New Roman" w:cs="Times New Roman"/>
                <w:b/>
                <w:sz w:val="28"/>
                <w:szCs w:val="28"/>
              </w:rPr>
              <w:t>=</w:t>
            </w:r>
          </w:p>
        </w:tc>
        <w:tc>
          <w:tcPr>
            <w:tcW w:w="5805" w:type="dxa"/>
            <w:gridSpan w:val="3"/>
            <w:tcBorders>
              <w:bottom w:val="single" w:sz="4" w:space="0" w:color="auto"/>
            </w:tcBorders>
            <w:vAlign w:val="center"/>
          </w:tcPr>
          <w:p w14:paraId="6508BF6E" w14:textId="77777777" w:rsidR="00DA7E4D" w:rsidRPr="00E93C91" w:rsidRDefault="00DA7E4D" w:rsidP="00F52CA8">
            <w:pPr>
              <w:spacing w:before="60" w:after="60"/>
              <w:jc w:val="center"/>
              <w:rPr>
                <w:rFonts w:ascii="Times New Roman" w:hAnsi="Times New Roman" w:cs="Times New Roman"/>
                <w:sz w:val="28"/>
                <w:szCs w:val="28"/>
              </w:rPr>
            </w:pPr>
            <w:r w:rsidRPr="00E93C91">
              <w:rPr>
                <w:rFonts w:ascii="Times New Roman" w:hAnsi="Times New Roman" w:cs="Times New Roman"/>
                <w:sz w:val="28"/>
                <w:szCs w:val="28"/>
              </w:rPr>
              <w:t>Nguyên giá dụng cụ</w:t>
            </w:r>
          </w:p>
        </w:tc>
      </w:tr>
      <w:tr w:rsidR="00E93C91" w:rsidRPr="00E93C91" w14:paraId="6CF6C75A" w14:textId="77777777" w:rsidTr="00DD3705">
        <w:trPr>
          <w:gridBefore w:val="1"/>
          <w:gridAfter w:val="1"/>
          <w:wBefore w:w="562" w:type="dxa"/>
          <w:wAfter w:w="148" w:type="dxa"/>
        </w:trPr>
        <w:tc>
          <w:tcPr>
            <w:tcW w:w="1979" w:type="dxa"/>
            <w:gridSpan w:val="3"/>
            <w:vMerge/>
            <w:vAlign w:val="center"/>
          </w:tcPr>
          <w:p w14:paraId="1E31EA05" w14:textId="77777777" w:rsidR="00DA7E4D" w:rsidRPr="00E93C91" w:rsidRDefault="00DA7E4D" w:rsidP="00F52CA8">
            <w:pPr>
              <w:spacing w:before="60" w:after="60"/>
              <w:jc w:val="center"/>
              <w:rPr>
                <w:rFonts w:ascii="Times New Roman" w:hAnsi="Times New Roman" w:cs="Times New Roman"/>
                <w:sz w:val="28"/>
                <w:szCs w:val="28"/>
              </w:rPr>
            </w:pPr>
          </w:p>
        </w:tc>
        <w:tc>
          <w:tcPr>
            <w:tcW w:w="715" w:type="dxa"/>
            <w:vMerge/>
            <w:vAlign w:val="center"/>
          </w:tcPr>
          <w:p w14:paraId="7BEB8360" w14:textId="77777777" w:rsidR="00DA7E4D" w:rsidRPr="00E93C91" w:rsidRDefault="00DA7E4D" w:rsidP="00F52CA8">
            <w:pPr>
              <w:spacing w:before="60" w:after="60"/>
              <w:jc w:val="center"/>
              <w:rPr>
                <w:rFonts w:ascii="Times New Roman" w:hAnsi="Times New Roman" w:cs="Times New Roman"/>
                <w:b/>
                <w:sz w:val="28"/>
                <w:szCs w:val="28"/>
              </w:rPr>
            </w:pPr>
          </w:p>
        </w:tc>
        <w:tc>
          <w:tcPr>
            <w:tcW w:w="5805" w:type="dxa"/>
            <w:gridSpan w:val="3"/>
            <w:tcBorders>
              <w:top w:val="single" w:sz="4" w:space="0" w:color="auto"/>
            </w:tcBorders>
            <w:vAlign w:val="center"/>
          </w:tcPr>
          <w:p w14:paraId="151BF79C" w14:textId="77777777" w:rsidR="00DA7E4D" w:rsidRPr="00E93C91" w:rsidRDefault="00DA7E4D" w:rsidP="00F52CA8">
            <w:pPr>
              <w:spacing w:before="60" w:after="60"/>
              <w:jc w:val="center"/>
              <w:rPr>
                <w:rFonts w:ascii="Times New Roman" w:hAnsi="Times New Roman" w:cs="Times New Roman"/>
                <w:sz w:val="28"/>
                <w:szCs w:val="28"/>
              </w:rPr>
            </w:pPr>
            <w:r w:rsidRPr="00E93C91">
              <w:rPr>
                <w:rFonts w:ascii="Times New Roman" w:hAnsi="Times New Roman" w:cs="Times New Roman"/>
                <w:sz w:val="28"/>
                <w:szCs w:val="28"/>
              </w:rPr>
              <w:t>Thời hạn sử dụng (tháng) x 26 (ngày)</w:t>
            </w:r>
          </w:p>
        </w:tc>
      </w:tr>
    </w:tbl>
    <w:p w14:paraId="524AC3ED" w14:textId="77777777" w:rsidR="001A201A" w:rsidRPr="00E93C91" w:rsidRDefault="001A201A"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Thời gian sử dụng dụng cụ được tính bằng tháng, một tháng có 26 ngày.</w:t>
      </w:r>
    </w:p>
    <w:p w14:paraId="194B3B3C" w14:textId="77777777" w:rsidR="001A201A" w:rsidRPr="00E93C91" w:rsidRDefault="001A201A"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Thời hạn sử dụng của từng loại dụng cụ được quy định cụ thể trong từng bảng định mức dụng cụ.</w:t>
      </w:r>
    </w:p>
    <w:p w14:paraId="762C21FE" w14:textId="77777777" w:rsidR="00220B1F" w:rsidRPr="00E93C91" w:rsidRDefault="00220B1F"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Nguyên giá từng loại dụng cụ theo giá thị trường tại địa phương</w:t>
      </w:r>
    </w:p>
    <w:p w14:paraId="4A93F99F" w14:textId="1A49DB26" w:rsidR="002A0520" w:rsidRPr="00E93C91" w:rsidRDefault="00391F61"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 xml:space="preserve">Bước Công việc tiếp nhận thông tin, dữ liệu tài nguyên và môi trường: </w:t>
      </w:r>
      <w:r w:rsidR="002A0520" w:rsidRPr="00E93C91">
        <w:rPr>
          <w:rFonts w:ascii="Times New Roman" w:hAnsi="Times New Roman" w:cs="Times New Roman"/>
          <w:sz w:val="28"/>
          <w:lang w:val="vi-VN"/>
        </w:rPr>
        <w:t xml:space="preserve">Định mức dụng cụ trên tính trong trường hợp tài liệu tiếp nhận có cả dạng giấy và dạng số. Trường hợp tài liệu chỉ có dạng giấy tính bằng 0,60 </w:t>
      </w:r>
      <w:r w:rsidR="009304C3">
        <w:rPr>
          <w:rFonts w:ascii="Times New Roman" w:hAnsi="Times New Roman" w:cs="Times New Roman"/>
          <w:sz w:val="28"/>
        </w:rPr>
        <w:t>mức dụng cụ</w:t>
      </w:r>
      <w:r w:rsidR="003A343A" w:rsidRPr="00E93C91">
        <w:rPr>
          <w:rFonts w:ascii="Times New Roman" w:hAnsi="Times New Roman" w:cs="Times New Roman"/>
          <w:sz w:val="28"/>
          <w:szCs w:val="28"/>
          <w:lang w:val="vi-VN"/>
        </w:rPr>
        <w:t xml:space="preserve"> tính trong trường hợp tài liệu tiếp nhận có cả dạng giấy và dạng số</w:t>
      </w:r>
      <w:r w:rsidR="002A0520" w:rsidRPr="00E93C91">
        <w:rPr>
          <w:rFonts w:ascii="Times New Roman" w:hAnsi="Times New Roman" w:cs="Times New Roman"/>
          <w:sz w:val="28"/>
          <w:lang w:val="vi-VN"/>
        </w:rPr>
        <w:t xml:space="preserve">. Trường hợp tài liệu chỉ có dạng số tính bằng 0,20 </w:t>
      </w:r>
      <w:r w:rsidR="009304C3">
        <w:rPr>
          <w:rFonts w:ascii="Times New Roman" w:hAnsi="Times New Roman" w:cs="Times New Roman"/>
          <w:sz w:val="28"/>
          <w:szCs w:val="28"/>
        </w:rPr>
        <w:t>mức dụng cụ</w:t>
      </w:r>
      <w:r w:rsidR="003A343A" w:rsidRPr="00E93C91">
        <w:rPr>
          <w:rFonts w:ascii="Times New Roman" w:hAnsi="Times New Roman" w:cs="Times New Roman"/>
          <w:sz w:val="28"/>
          <w:szCs w:val="28"/>
          <w:lang w:val="vi-VN"/>
        </w:rPr>
        <w:t xml:space="preserve"> tính trong trường hợp tài liệu tiếp nhận có cả dạng giấy và dạng số</w:t>
      </w:r>
      <w:r w:rsidR="002A0520" w:rsidRPr="00E93C91">
        <w:rPr>
          <w:rFonts w:ascii="Times New Roman" w:hAnsi="Times New Roman" w:cs="Times New Roman"/>
          <w:sz w:val="28"/>
        </w:rPr>
        <w:t>.</w:t>
      </w:r>
    </w:p>
    <w:p w14:paraId="64CCD3F6" w14:textId="3DD48448" w:rsidR="00391F61" w:rsidRPr="00E93C91" w:rsidRDefault="00391F61"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 xml:space="preserve">Bước Công việc chỉnh lý tài liệu lưu trữ dạng giấy: </w:t>
      </w:r>
      <w:r w:rsidRPr="00E93C91">
        <w:rPr>
          <w:rFonts w:ascii="Times New Roman" w:hAnsi="Times New Roman" w:cs="Times New Roman"/>
          <w:sz w:val="28"/>
          <w:szCs w:val="28"/>
          <w:lang w:val="vi-VN"/>
        </w:rPr>
        <w:t xml:space="preserve">Định mức dụng cụ tính cho việc Chỉnh lý tài liệu trong trường hợp tài liệu đã chỉnh lý sơ bộ. Đối với việc Chỉnh lý tài liệu trong trường hợp tài liệu chưa lập hồ sơ (tài liệu rời lẻ) tính bằng 1,10 mức </w:t>
      </w:r>
      <w:r w:rsidR="009304C3">
        <w:rPr>
          <w:rFonts w:ascii="Times New Roman" w:hAnsi="Times New Roman" w:cs="Times New Roman"/>
          <w:sz w:val="28"/>
          <w:szCs w:val="28"/>
        </w:rPr>
        <w:t>dụng cụ</w:t>
      </w:r>
      <w:r w:rsidR="003A343A" w:rsidRPr="00E93C91">
        <w:rPr>
          <w:rFonts w:ascii="Times New Roman" w:hAnsi="Times New Roman" w:cs="Times New Roman"/>
          <w:sz w:val="28"/>
          <w:szCs w:val="28"/>
          <w:lang w:val="vi-VN"/>
        </w:rPr>
        <w:t xml:space="preserve"> tính cho việc Chỉnh lý tài liệu dạng giấy trong trường hợp tài liệu đã chỉnh lý sơ bộ</w:t>
      </w:r>
      <w:r w:rsidRPr="00E93C91">
        <w:rPr>
          <w:rFonts w:ascii="Times New Roman" w:hAnsi="Times New Roman" w:cs="Times New Roman"/>
          <w:sz w:val="28"/>
          <w:szCs w:val="28"/>
        </w:rPr>
        <w:t>.</w:t>
      </w:r>
    </w:p>
    <w:p w14:paraId="5232C03F" w14:textId="02AC0438" w:rsidR="000D5A00" w:rsidRPr="00E93C91" w:rsidRDefault="000D5A00" w:rsidP="00F52CA8">
      <w:pPr>
        <w:spacing w:before="60" w:after="60" w:line="240" w:lineRule="auto"/>
        <w:ind w:firstLine="709"/>
        <w:jc w:val="both"/>
        <w:rPr>
          <w:rFonts w:ascii="Times New Roman" w:hAnsi="Times New Roman" w:cs="Times New Roman"/>
          <w:sz w:val="28"/>
          <w:szCs w:val="28"/>
        </w:rPr>
      </w:pPr>
      <w:r w:rsidRPr="00E93C91">
        <w:rPr>
          <w:rFonts w:ascii="Times New Roman" w:hAnsi="Times New Roman" w:cs="Times New Roman"/>
          <w:sz w:val="28"/>
          <w:szCs w:val="28"/>
        </w:rPr>
        <w:t xml:space="preserve">Bước công việc bảo quản kho lưu trữ tài liệu: </w:t>
      </w:r>
      <w:r w:rsidRPr="00E93C91">
        <w:rPr>
          <w:rFonts w:ascii="Times New Roman" w:hAnsi="Times New Roman" w:cs="Times New Roman"/>
          <w:sz w:val="28"/>
          <w:szCs w:val="28"/>
          <w:lang w:val="vi-VN"/>
        </w:rPr>
        <w:t xml:space="preserve">Định mức </w:t>
      </w:r>
      <w:r w:rsidRPr="00E93C91">
        <w:rPr>
          <w:rFonts w:ascii="Times New Roman" w:hAnsi="Times New Roman" w:cs="Times New Roman"/>
          <w:sz w:val="28"/>
          <w:szCs w:val="28"/>
        </w:rPr>
        <w:t>dụng cụ</w:t>
      </w:r>
      <w:r w:rsidRPr="00E93C91">
        <w:rPr>
          <w:rFonts w:ascii="Times New Roman" w:hAnsi="Times New Roman" w:cs="Times New Roman"/>
          <w:sz w:val="28"/>
          <w:szCs w:val="28"/>
          <w:lang w:val="vi-VN"/>
        </w:rPr>
        <w:t xml:space="preserve"> tính cho kho bảo quản tài liệu lưu trữ là kho thông thường</w:t>
      </w:r>
      <w:r w:rsidR="009B32EF" w:rsidRPr="00E93C91">
        <w:rPr>
          <w:rFonts w:ascii="Times New Roman" w:hAnsi="Times New Roman" w:cs="Times New Roman"/>
          <w:sz w:val="28"/>
          <w:szCs w:val="28"/>
        </w:rPr>
        <w:t xml:space="preserve"> là 1,20</w:t>
      </w:r>
      <w:r w:rsidRPr="00E93C91">
        <w:rPr>
          <w:rFonts w:ascii="Times New Roman" w:hAnsi="Times New Roman" w:cs="Times New Roman"/>
          <w:sz w:val="28"/>
          <w:szCs w:val="28"/>
        </w:rPr>
        <w:t>.</w:t>
      </w:r>
    </w:p>
    <w:p w14:paraId="55EA10DF" w14:textId="26B47F5E" w:rsidR="000D5A00" w:rsidRPr="00E93C91" w:rsidRDefault="000D5A00" w:rsidP="00F52CA8">
      <w:pPr>
        <w:spacing w:before="60" w:after="60" w:line="240" w:lineRule="auto"/>
        <w:ind w:firstLine="709"/>
        <w:jc w:val="both"/>
        <w:rPr>
          <w:rFonts w:ascii="Times New Roman" w:hAnsi="Times New Roman" w:cs="Times New Roman"/>
          <w:sz w:val="28"/>
          <w:szCs w:val="28"/>
        </w:rPr>
      </w:pPr>
      <w:r w:rsidRPr="00E93C91">
        <w:rPr>
          <w:rFonts w:ascii="Times New Roman" w:hAnsi="Times New Roman" w:cs="Times New Roman"/>
          <w:sz w:val="28"/>
          <w:szCs w:val="28"/>
        </w:rPr>
        <w:t xml:space="preserve">Bước công việc bảo quản tài liệu lưu trữ dạng giấy: </w:t>
      </w:r>
      <w:r w:rsidRPr="00E93C91">
        <w:rPr>
          <w:rFonts w:ascii="Times New Roman" w:hAnsi="Times New Roman" w:cs="Times New Roman"/>
          <w:sz w:val="28"/>
          <w:szCs w:val="28"/>
          <w:lang w:val="vi-VN"/>
        </w:rPr>
        <w:t xml:space="preserve">Định mức </w:t>
      </w:r>
      <w:r w:rsidR="009B32EF" w:rsidRPr="00E93C91">
        <w:rPr>
          <w:rFonts w:ascii="Times New Roman" w:hAnsi="Times New Roman" w:cs="Times New Roman"/>
          <w:sz w:val="28"/>
          <w:szCs w:val="28"/>
        </w:rPr>
        <w:t>dụng cụ</w:t>
      </w:r>
      <w:r w:rsidR="009B32EF" w:rsidRPr="00E93C91">
        <w:rPr>
          <w:rFonts w:ascii="Times New Roman" w:hAnsi="Times New Roman" w:cs="Times New Roman"/>
          <w:sz w:val="28"/>
          <w:szCs w:val="28"/>
          <w:lang w:val="vi-VN"/>
        </w:rPr>
        <w:t xml:space="preserve"> </w:t>
      </w:r>
      <w:r w:rsidRPr="00E93C91">
        <w:rPr>
          <w:rFonts w:ascii="Times New Roman" w:hAnsi="Times New Roman" w:cs="Times New Roman"/>
          <w:sz w:val="28"/>
          <w:szCs w:val="28"/>
          <w:lang w:val="vi-VN"/>
        </w:rPr>
        <w:t>tính cho kho bảo quản tài liệu lưu trữ là kho thông thường</w:t>
      </w:r>
      <w:r w:rsidR="009B32EF" w:rsidRPr="00E93C91">
        <w:rPr>
          <w:rFonts w:ascii="Times New Roman" w:hAnsi="Times New Roman" w:cs="Times New Roman"/>
          <w:sz w:val="28"/>
          <w:szCs w:val="28"/>
        </w:rPr>
        <w:t xml:space="preserve"> là 1,20</w:t>
      </w:r>
      <w:r w:rsidRPr="00E93C91">
        <w:rPr>
          <w:rFonts w:ascii="Times New Roman" w:hAnsi="Times New Roman" w:cs="Times New Roman"/>
          <w:sz w:val="28"/>
          <w:szCs w:val="28"/>
        </w:rPr>
        <w:t>.</w:t>
      </w:r>
    </w:p>
    <w:p w14:paraId="6DF97E60" w14:textId="77777777" w:rsidR="001A7C8B" w:rsidRPr="00E93C91" w:rsidRDefault="001A7C8B" w:rsidP="00F52CA8">
      <w:pPr>
        <w:spacing w:before="60" w:after="60" w:line="240" w:lineRule="auto"/>
        <w:ind w:firstLine="709"/>
        <w:jc w:val="both"/>
        <w:rPr>
          <w:rFonts w:ascii="Times New Roman" w:hAnsi="Times New Roman" w:cs="Times New Roman"/>
          <w:sz w:val="28"/>
          <w:szCs w:val="28"/>
        </w:rPr>
      </w:pPr>
      <w:r w:rsidRPr="00E93C91">
        <w:rPr>
          <w:rFonts w:ascii="Times New Roman" w:hAnsi="Times New Roman" w:cs="Times New Roman"/>
          <w:sz w:val="28"/>
          <w:szCs w:val="28"/>
        </w:rPr>
        <w:t xml:space="preserve">Bước công việc xây dựng cơ sở dữ liệu tài liệu lưu trữ điện tử: </w:t>
      </w:r>
      <w:r w:rsidRPr="00E93C91">
        <w:rPr>
          <w:rFonts w:ascii="Times New Roman" w:hAnsi="Times New Roman" w:cs="Times New Roman"/>
          <w:sz w:val="28"/>
          <w:szCs w:val="28"/>
          <w:lang w:val="vi-VN"/>
        </w:rPr>
        <w:t>Số hóa tài liệu (bước này áp dụng định mức công việc Quét (chụp) tài liệu quy định tại Điểm 4.2, Khoản 4, Chương I, Phần 3, Thông tư số 26/2014/TT-BTNMT)</w:t>
      </w:r>
      <w:r w:rsidRPr="00E93C91">
        <w:rPr>
          <w:rFonts w:ascii="Times New Roman" w:hAnsi="Times New Roman" w:cs="Times New Roman"/>
          <w:sz w:val="28"/>
          <w:szCs w:val="28"/>
        </w:rPr>
        <w:t xml:space="preserve">; </w:t>
      </w:r>
      <w:r w:rsidRPr="00E93C91">
        <w:rPr>
          <w:rFonts w:ascii="Times New Roman" w:hAnsi="Times New Roman" w:cs="Times New Roman"/>
          <w:sz w:val="28"/>
          <w:szCs w:val="28"/>
          <w:lang w:val="vi-VN"/>
        </w:rPr>
        <w:t>Cập nhật tài liệu số hóa vào cơ sở dữ liệu tài liệu lưu trữ điện tử (bước này áp dụng định mức công việc Xử lý và đính kèm tài liệu quét quy định tại Điểm 4.2, Khoản 4, Chương I, Phần 3, Thông tư số 26/2014/TT-BTNMT)</w:t>
      </w:r>
      <w:r w:rsidRPr="00E93C91">
        <w:rPr>
          <w:rFonts w:ascii="Times New Roman" w:hAnsi="Times New Roman" w:cs="Times New Roman"/>
          <w:sz w:val="28"/>
          <w:szCs w:val="28"/>
        </w:rPr>
        <w:t>.</w:t>
      </w:r>
    </w:p>
    <w:p w14:paraId="0CDB1566" w14:textId="77777777" w:rsidR="00845F4C" w:rsidRPr="00E93C91" w:rsidRDefault="00845F4C"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b.2) Chi phí điện năng tiêu thụ của dụng cụ: Là chi phí sử dụng năng lượng dùng cho dụng cụ vận hành trong thời gian thực hiện nhiệm vụ, dự án.</w:t>
      </w:r>
    </w:p>
    <w:p w14:paraId="4BD0A180" w14:textId="77777777" w:rsidR="00845F4C" w:rsidRPr="00E93C91" w:rsidRDefault="00845F4C"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Chi phí năng lượng bằng (=) Năng lượng tiêu hao theo định mức nhân (x) đơn giá do Nhà nước quy định.</w:t>
      </w:r>
    </w:p>
    <w:p w14:paraId="1DD0953A" w14:textId="77777777" w:rsidR="00845F4C" w:rsidRPr="00E93C91" w:rsidRDefault="009548F9"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 xml:space="preserve">Đơn giá điện năng (chưa bao gồm thuế giá trị gia tăng): </w:t>
      </w:r>
      <w:r w:rsidR="00D5282B" w:rsidRPr="00E93C91">
        <w:rPr>
          <w:rFonts w:ascii="Times New Roman" w:hAnsi="Times New Roman" w:cs="Times New Roman"/>
          <w:sz w:val="28"/>
          <w:szCs w:val="28"/>
        </w:rPr>
        <w:t>2.092</w:t>
      </w:r>
      <w:r w:rsidRPr="00E93C91">
        <w:rPr>
          <w:rFonts w:ascii="Times New Roman" w:hAnsi="Times New Roman" w:cs="Times New Roman"/>
          <w:sz w:val="28"/>
          <w:szCs w:val="28"/>
        </w:rPr>
        <w:t xml:space="preserve"> đồng/kWh (theo mức giá bán lẻ điện bình quân tại Quyết định số 648/QĐ-BCT ngày 20/3/2019 của Bộ Công thương về điều chỉnh mức giá bản lẻ điện bình quân và quy định giá bán điện).</w:t>
      </w:r>
    </w:p>
    <w:p w14:paraId="65F990DC" w14:textId="77777777" w:rsidR="00212CAA" w:rsidRPr="00E93C91" w:rsidRDefault="00B822DF" w:rsidP="00F52CA8">
      <w:pPr>
        <w:spacing w:before="60" w:after="60" w:line="240" w:lineRule="auto"/>
        <w:ind w:firstLine="720"/>
        <w:jc w:val="both"/>
        <w:rPr>
          <w:rFonts w:ascii="Times New Roman" w:hAnsi="Times New Roman" w:cs="Times New Roman"/>
          <w:b/>
          <w:i/>
          <w:sz w:val="28"/>
          <w:szCs w:val="28"/>
        </w:rPr>
      </w:pPr>
      <w:r w:rsidRPr="00E93C91">
        <w:rPr>
          <w:rFonts w:ascii="Times New Roman" w:hAnsi="Times New Roman" w:cs="Times New Roman"/>
          <w:b/>
          <w:i/>
          <w:sz w:val="28"/>
          <w:szCs w:val="28"/>
        </w:rPr>
        <w:lastRenderedPageBreak/>
        <w:t>d</w:t>
      </w:r>
      <w:r w:rsidR="00212CAA" w:rsidRPr="00E93C91">
        <w:rPr>
          <w:rFonts w:ascii="Times New Roman" w:hAnsi="Times New Roman" w:cs="Times New Roman"/>
          <w:b/>
          <w:i/>
          <w:sz w:val="28"/>
          <w:szCs w:val="28"/>
        </w:rPr>
        <w:t>) Chi phí vật liệu</w:t>
      </w:r>
    </w:p>
    <w:p w14:paraId="32372A01" w14:textId="77777777" w:rsidR="00212CAA" w:rsidRPr="00E93C91" w:rsidRDefault="005D6511"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Là giá trị vật liệu chính, vật liệu phụ dùng trực tiếp trong quá trình thực hiện nhiệm vụ, dự án</w:t>
      </w:r>
      <w:r w:rsidR="00212CAA" w:rsidRPr="00E93C91">
        <w:rPr>
          <w:rFonts w:ascii="Times New Roman" w:hAnsi="Times New Roman" w:cs="Times New Roman"/>
          <w:sz w:val="28"/>
          <w:szCs w:val="28"/>
        </w:rPr>
        <w:t>.</w:t>
      </w:r>
    </w:p>
    <w:p w14:paraId="0953394A" w14:textId="77777777" w:rsidR="005D6511" w:rsidRPr="00E93C91" w:rsidRDefault="005D6511"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Chi phí vật liệu bằng (=) Tổng số lượng từng loại vật liệu theo định mức nhân (x) đơn giá từng loại vật liệu.</w:t>
      </w:r>
    </w:p>
    <w:p w14:paraId="58C985F3" w14:textId="77777777" w:rsidR="00C914B9" w:rsidRPr="00E93C91" w:rsidRDefault="00C914B9"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Đơn giá từng loại vật liệu theo giá thị trường tại địa phương.</w:t>
      </w:r>
    </w:p>
    <w:p w14:paraId="7618C8C3" w14:textId="5BF94FEF" w:rsidR="002A0520" w:rsidRPr="00E93C91" w:rsidRDefault="00391F61"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 xml:space="preserve">Bước Công việc tiếp nhận thông tin, dữ liệu tài nguyên và môi trường: </w:t>
      </w:r>
      <w:r w:rsidR="002A0520" w:rsidRPr="00E93C91">
        <w:rPr>
          <w:rFonts w:ascii="Times New Roman" w:hAnsi="Times New Roman" w:cs="Times New Roman"/>
          <w:sz w:val="28"/>
          <w:szCs w:val="28"/>
          <w:lang w:val="vi-VN"/>
        </w:rPr>
        <w:t xml:space="preserve">Định mức vật liệu trên tính trong trường hợp tài liệu tiếp nhận có cả dạng giấy và dạng số. Trường hợp tài liệu chỉ có dạng giấy tính bằng 0,60 </w:t>
      </w:r>
      <w:r w:rsidR="009304C3">
        <w:rPr>
          <w:rFonts w:ascii="Times New Roman" w:hAnsi="Times New Roman" w:cs="Times New Roman"/>
          <w:sz w:val="28"/>
          <w:szCs w:val="28"/>
        </w:rPr>
        <w:t>mức vật liệu</w:t>
      </w:r>
      <w:r w:rsidR="003A343A" w:rsidRPr="00E93C91">
        <w:rPr>
          <w:rFonts w:ascii="Times New Roman" w:hAnsi="Times New Roman" w:cs="Times New Roman"/>
          <w:sz w:val="28"/>
          <w:szCs w:val="28"/>
          <w:lang w:val="vi-VN"/>
        </w:rPr>
        <w:t xml:space="preserve"> tính trong trường hợp tài liệu tiếp nhận có cả dạng giấy và dạng số</w:t>
      </w:r>
      <w:r w:rsidR="002A0520" w:rsidRPr="00E93C91">
        <w:rPr>
          <w:rFonts w:ascii="Times New Roman" w:hAnsi="Times New Roman" w:cs="Times New Roman"/>
          <w:sz w:val="28"/>
          <w:szCs w:val="28"/>
          <w:lang w:val="vi-VN"/>
        </w:rPr>
        <w:t xml:space="preserve">. Trường hợp tài liệu chỉ có dạng số tính bằng 0,20 </w:t>
      </w:r>
      <w:r w:rsidR="009304C3">
        <w:rPr>
          <w:rFonts w:ascii="Times New Roman" w:hAnsi="Times New Roman" w:cs="Times New Roman"/>
          <w:sz w:val="28"/>
          <w:szCs w:val="28"/>
        </w:rPr>
        <w:t>mức vật liệu</w:t>
      </w:r>
      <w:r w:rsidR="009304C3" w:rsidRPr="00E93C91">
        <w:rPr>
          <w:rFonts w:ascii="Times New Roman" w:hAnsi="Times New Roman" w:cs="Times New Roman"/>
          <w:sz w:val="28"/>
          <w:szCs w:val="28"/>
          <w:lang w:val="vi-VN"/>
        </w:rPr>
        <w:t xml:space="preserve"> </w:t>
      </w:r>
      <w:r w:rsidR="003A343A" w:rsidRPr="00E93C91">
        <w:rPr>
          <w:rFonts w:ascii="Times New Roman" w:hAnsi="Times New Roman" w:cs="Times New Roman"/>
          <w:sz w:val="28"/>
          <w:szCs w:val="28"/>
          <w:lang w:val="vi-VN"/>
        </w:rPr>
        <w:t>tính trong trường hợp tài liệu tiếp nhận có cả dạng giấy và dạng số</w:t>
      </w:r>
      <w:r w:rsidR="002A0520" w:rsidRPr="00E93C91">
        <w:rPr>
          <w:rFonts w:ascii="Times New Roman" w:hAnsi="Times New Roman" w:cs="Times New Roman"/>
          <w:sz w:val="28"/>
          <w:szCs w:val="28"/>
        </w:rPr>
        <w:t>.</w:t>
      </w:r>
    </w:p>
    <w:p w14:paraId="216C0D5F" w14:textId="6B617D18" w:rsidR="000D5A00" w:rsidRPr="00E93C91" w:rsidRDefault="000D5A00"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 xml:space="preserve">Bước Công việc chỉnh lý tài liệu lưu trữ dạng giấy: </w:t>
      </w:r>
      <w:r w:rsidRPr="00E93C91">
        <w:rPr>
          <w:rFonts w:ascii="Times New Roman" w:hAnsi="Times New Roman" w:cs="Times New Roman"/>
          <w:sz w:val="28"/>
          <w:szCs w:val="28"/>
          <w:lang w:val="vi-VN"/>
        </w:rPr>
        <w:t xml:space="preserve">Định mức vật liệu trên tính cho việc Chỉnh lý tài liệu trong trường hợp tài liệu đã chỉnh lý sơ bộ. Đối với việc Chỉnh lý tài liệu trong trường hợp tài liệu chưa lập hồ sơ (tài liệu rời lẻ) tính bằng 1,10 mức </w:t>
      </w:r>
      <w:r w:rsidR="009304C3">
        <w:rPr>
          <w:rFonts w:ascii="Times New Roman" w:hAnsi="Times New Roman" w:cs="Times New Roman"/>
          <w:sz w:val="28"/>
          <w:szCs w:val="28"/>
        </w:rPr>
        <w:t>vật liệu</w:t>
      </w:r>
      <w:r w:rsidR="003A343A" w:rsidRPr="00E93C91">
        <w:rPr>
          <w:rFonts w:ascii="Times New Roman" w:hAnsi="Times New Roman" w:cs="Times New Roman"/>
          <w:sz w:val="28"/>
          <w:szCs w:val="28"/>
          <w:lang w:val="vi-VN"/>
        </w:rPr>
        <w:t xml:space="preserve"> tính cho việc Chỉnh lý tài liệu dạng giấy trong trường hợp tài liệu đã chỉnh lý sơ bộ</w:t>
      </w:r>
      <w:r w:rsidRPr="00E93C91">
        <w:rPr>
          <w:rFonts w:ascii="Times New Roman" w:hAnsi="Times New Roman" w:cs="Times New Roman"/>
          <w:sz w:val="28"/>
          <w:szCs w:val="28"/>
        </w:rPr>
        <w:t>.</w:t>
      </w:r>
    </w:p>
    <w:p w14:paraId="3362E49D" w14:textId="73917379" w:rsidR="000D5A00" w:rsidRPr="00E93C91" w:rsidRDefault="000D5A00" w:rsidP="00F52CA8">
      <w:pPr>
        <w:spacing w:before="60" w:after="60" w:line="240" w:lineRule="auto"/>
        <w:ind w:firstLine="709"/>
        <w:jc w:val="both"/>
        <w:rPr>
          <w:rFonts w:ascii="Times New Roman" w:hAnsi="Times New Roman" w:cs="Times New Roman"/>
          <w:sz w:val="28"/>
          <w:szCs w:val="28"/>
        </w:rPr>
      </w:pPr>
      <w:r w:rsidRPr="00E93C91">
        <w:rPr>
          <w:rFonts w:ascii="Times New Roman" w:hAnsi="Times New Roman" w:cs="Times New Roman"/>
          <w:sz w:val="28"/>
          <w:szCs w:val="28"/>
        </w:rPr>
        <w:t xml:space="preserve">Bước công việc bảo quản kho lưu trữ tài liệu: </w:t>
      </w:r>
      <w:r w:rsidRPr="00E93C91">
        <w:rPr>
          <w:rFonts w:ascii="Times New Roman" w:hAnsi="Times New Roman" w:cs="Times New Roman"/>
          <w:sz w:val="28"/>
          <w:szCs w:val="28"/>
          <w:lang w:val="vi-VN"/>
        </w:rPr>
        <w:t xml:space="preserve">Định mức </w:t>
      </w:r>
      <w:r w:rsidRPr="00E93C91">
        <w:rPr>
          <w:rFonts w:ascii="Times New Roman" w:hAnsi="Times New Roman" w:cs="Times New Roman"/>
          <w:sz w:val="28"/>
          <w:szCs w:val="28"/>
        </w:rPr>
        <w:t>vật liệu</w:t>
      </w:r>
      <w:r w:rsidRPr="00E93C91">
        <w:rPr>
          <w:rFonts w:ascii="Times New Roman" w:hAnsi="Times New Roman" w:cs="Times New Roman"/>
          <w:sz w:val="28"/>
          <w:szCs w:val="28"/>
          <w:lang w:val="vi-VN"/>
        </w:rPr>
        <w:t xml:space="preserve"> tính cho kho bảo quản tài liệu lưu trữ là kho thông thường</w:t>
      </w:r>
      <w:r w:rsidR="009B32EF" w:rsidRPr="00E93C91">
        <w:rPr>
          <w:rFonts w:ascii="Times New Roman" w:hAnsi="Times New Roman" w:cs="Times New Roman"/>
          <w:sz w:val="28"/>
          <w:szCs w:val="28"/>
        </w:rPr>
        <w:t xml:space="preserve"> là 1,20</w:t>
      </w:r>
      <w:r w:rsidRPr="00E93C91">
        <w:rPr>
          <w:rFonts w:ascii="Times New Roman" w:hAnsi="Times New Roman" w:cs="Times New Roman"/>
          <w:sz w:val="28"/>
          <w:szCs w:val="28"/>
        </w:rPr>
        <w:t>.</w:t>
      </w:r>
    </w:p>
    <w:p w14:paraId="1C11BF22" w14:textId="010715F5" w:rsidR="009B32EF" w:rsidRPr="00E93C91" w:rsidRDefault="009B32EF" w:rsidP="00F52CA8">
      <w:pPr>
        <w:spacing w:before="60" w:after="60" w:line="240" w:lineRule="auto"/>
        <w:ind w:firstLine="709"/>
        <w:jc w:val="both"/>
        <w:rPr>
          <w:rFonts w:ascii="Times New Roman" w:hAnsi="Times New Roman" w:cs="Times New Roman"/>
          <w:sz w:val="28"/>
          <w:szCs w:val="28"/>
        </w:rPr>
      </w:pPr>
      <w:r w:rsidRPr="00E93C91">
        <w:rPr>
          <w:rFonts w:ascii="Times New Roman" w:hAnsi="Times New Roman" w:cs="Times New Roman"/>
          <w:sz w:val="28"/>
          <w:szCs w:val="28"/>
        </w:rPr>
        <w:t xml:space="preserve">Bước công việc bảo quản tài liệu lưu trữ dạng giấy: </w:t>
      </w:r>
      <w:r w:rsidRPr="00E93C91">
        <w:rPr>
          <w:rFonts w:ascii="Times New Roman" w:hAnsi="Times New Roman" w:cs="Times New Roman"/>
          <w:sz w:val="28"/>
          <w:szCs w:val="28"/>
          <w:lang w:val="vi-VN"/>
        </w:rPr>
        <w:t xml:space="preserve">Định mức </w:t>
      </w:r>
      <w:r w:rsidRPr="00E93C91">
        <w:rPr>
          <w:rFonts w:ascii="Times New Roman" w:hAnsi="Times New Roman" w:cs="Times New Roman"/>
          <w:sz w:val="28"/>
          <w:szCs w:val="28"/>
        </w:rPr>
        <w:t>vật liệu</w:t>
      </w:r>
      <w:r w:rsidRPr="00E93C91">
        <w:rPr>
          <w:rFonts w:ascii="Times New Roman" w:hAnsi="Times New Roman" w:cs="Times New Roman"/>
          <w:sz w:val="28"/>
          <w:szCs w:val="28"/>
          <w:lang w:val="vi-VN"/>
        </w:rPr>
        <w:t xml:space="preserve"> tính cho kho bảo quản tài liệu lưu trữ là kho thông thường</w:t>
      </w:r>
      <w:r w:rsidRPr="00E93C91">
        <w:rPr>
          <w:rFonts w:ascii="Times New Roman" w:hAnsi="Times New Roman" w:cs="Times New Roman"/>
          <w:sz w:val="28"/>
          <w:szCs w:val="28"/>
        </w:rPr>
        <w:t xml:space="preserve"> là 1,20.</w:t>
      </w:r>
    </w:p>
    <w:p w14:paraId="0FB60C00" w14:textId="77777777" w:rsidR="001A7C8B" w:rsidRPr="00E93C91" w:rsidRDefault="001A7C8B" w:rsidP="00F52CA8">
      <w:pPr>
        <w:spacing w:before="60" w:after="60" w:line="240" w:lineRule="auto"/>
        <w:ind w:firstLine="709"/>
        <w:jc w:val="both"/>
        <w:rPr>
          <w:rFonts w:ascii="Times New Roman" w:hAnsi="Times New Roman" w:cs="Times New Roman"/>
          <w:sz w:val="28"/>
          <w:szCs w:val="28"/>
        </w:rPr>
      </w:pPr>
      <w:r w:rsidRPr="00E93C91">
        <w:rPr>
          <w:rFonts w:ascii="Times New Roman" w:hAnsi="Times New Roman" w:cs="Times New Roman"/>
          <w:sz w:val="28"/>
          <w:szCs w:val="28"/>
        </w:rPr>
        <w:t xml:space="preserve">Bước công việc xây dựng cơ sở dữ liệu tài liệu lưu trữ điện tử: </w:t>
      </w:r>
      <w:r w:rsidRPr="00E93C91">
        <w:rPr>
          <w:rFonts w:ascii="Times New Roman" w:hAnsi="Times New Roman" w:cs="Times New Roman"/>
          <w:sz w:val="28"/>
          <w:szCs w:val="28"/>
          <w:lang w:val="vi-VN"/>
        </w:rPr>
        <w:t>Số hóa tài liệu (bước này áp dụng định mức công việc Quét (chụp) tài liệu quy định tại Điểm 4.2, Khoản 4, Chương I, Phần 3, Thông tư số 26/2014/TT-BTNMT)</w:t>
      </w:r>
      <w:r w:rsidRPr="00E93C91">
        <w:rPr>
          <w:rFonts w:ascii="Times New Roman" w:hAnsi="Times New Roman" w:cs="Times New Roman"/>
          <w:sz w:val="28"/>
          <w:szCs w:val="28"/>
        </w:rPr>
        <w:t xml:space="preserve">; </w:t>
      </w:r>
      <w:r w:rsidRPr="00E93C91">
        <w:rPr>
          <w:rFonts w:ascii="Times New Roman" w:hAnsi="Times New Roman" w:cs="Times New Roman"/>
          <w:sz w:val="28"/>
          <w:szCs w:val="28"/>
          <w:lang w:val="vi-VN"/>
        </w:rPr>
        <w:t>Cập nhật tài liệu số hóa vào cơ sở dữ liệu tài liệu lưu trữ điện tử (bước này áp dụng định mức công việc Xử lý và đính kèm tài liệu quét quy định tại Điểm 4.2, Khoản 4, Chương I, Phần 3, Thông tư số 26/2014/TT-BTNMT)</w:t>
      </w:r>
      <w:r w:rsidRPr="00E93C91">
        <w:rPr>
          <w:rFonts w:ascii="Times New Roman" w:hAnsi="Times New Roman" w:cs="Times New Roman"/>
          <w:sz w:val="28"/>
          <w:szCs w:val="28"/>
        </w:rPr>
        <w:t>.</w:t>
      </w:r>
    </w:p>
    <w:p w14:paraId="08E8DE7E" w14:textId="77777777" w:rsidR="00E6237F" w:rsidRPr="00E93C91" w:rsidRDefault="00B822DF" w:rsidP="00F52CA8">
      <w:pPr>
        <w:spacing w:before="60" w:after="60" w:line="240" w:lineRule="auto"/>
        <w:ind w:firstLine="720"/>
        <w:jc w:val="both"/>
        <w:rPr>
          <w:rFonts w:ascii="Times New Roman" w:hAnsi="Times New Roman" w:cs="Times New Roman"/>
          <w:b/>
          <w:i/>
          <w:sz w:val="28"/>
          <w:szCs w:val="28"/>
        </w:rPr>
      </w:pPr>
      <w:r w:rsidRPr="00E93C91">
        <w:rPr>
          <w:rFonts w:ascii="Times New Roman" w:hAnsi="Times New Roman" w:cs="Times New Roman"/>
          <w:b/>
          <w:i/>
          <w:sz w:val="28"/>
          <w:szCs w:val="28"/>
        </w:rPr>
        <w:t>đ</w:t>
      </w:r>
      <w:r w:rsidR="00E6237F" w:rsidRPr="00E93C91">
        <w:rPr>
          <w:rFonts w:ascii="Times New Roman" w:hAnsi="Times New Roman" w:cs="Times New Roman"/>
          <w:b/>
          <w:i/>
          <w:sz w:val="28"/>
          <w:szCs w:val="28"/>
        </w:rPr>
        <w:t>) Chi phí thiết bị</w:t>
      </w:r>
    </w:p>
    <w:p w14:paraId="68AC2A3D" w14:textId="77777777" w:rsidR="00E6237F" w:rsidRPr="00E93C91" w:rsidRDefault="00E6237F" w:rsidP="00F52CA8">
      <w:pPr>
        <w:spacing w:before="60" w:after="60" w:line="240" w:lineRule="auto"/>
        <w:ind w:firstLine="720"/>
        <w:jc w:val="both"/>
        <w:rPr>
          <w:rFonts w:ascii="Times New Roman" w:hAnsi="Times New Roman" w:cs="Times New Roman"/>
          <w:spacing w:val="-2"/>
          <w:sz w:val="28"/>
          <w:szCs w:val="28"/>
        </w:rPr>
      </w:pPr>
      <w:r w:rsidRPr="00E93C91">
        <w:rPr>
          <w:rFonts w:ascii="Times New Roman" w:hAnsi="Times New Roman" w:cs="Times New Roman"/>
          <w:spacing w:val="-2"/>
          <w:sz w:val="28"/>
          <w:szCs w:val="28"/>
        </w:rPr>
        <w:t xml:space="preserve">Bao gồm </w:t>
      </w:r>
      <w:r w:rsidR="00AB7C90" w:rsidRPr="00E93C91">
        <w:rPr>
          <w:rFonts w:ascii="Times New Roman" w:hAnsi="Times New Roman" w:cs="Times New Roman"/>
          <w:i/>
          <w:spacing w:val="-2"/>
          <w:sz w:val="28"/>
          <w:szCs w:val="28"/>
        </w:rPr>
        <w:t>Chi phí k</w:t>
      </w:r>
      <w:r w:rsidRPr="00E93C91">
        <w:rPr>
          <w:rFonts w:ascii="Times New Roman" w:hAnsi="Times New Roman" w:cs="Times New Roman"/>
          <w:i/>
          <w:spacing w:val="-2"/>
          <w:sz w:val="28"/>
          <w:szCs w:val="28"/>
        </w:rPr>
        <w:t>hấu hao thiết bị</w:t>
      </w:r>
      <w:r w:rsidRPr="00E93C91">
        <w:rPr>
          <w:rFonts w:ascii="Times New Roman" w:hAnsi="Times New Roman" w:cs="Times New Roman"/>
          <w:spacing w:val="-2"/>
          <w:sz w:val="28"/>
          <w:szCs w:val="28"/>
        </w:rPr>
        <w:t xml:space="preserve"> và </w:t>
      </w:r>
      <w:r w:rsidRPr="00E93C91">
        <w:rPr>
          <w:rFonts w:ascii="Times New Roman" w:hAnsi="Times New Roman" w:cs="Times New Roman"/>
          <w:i/>
          <w:spacing w:val="-2"/>
          <w:sz w:val="28"/>
          <w:szCs w:val="28"/>
        </w:rPr>
        <w:t>Chi phí điện năng tiêu thụ của thiết bị.</w:t>
      </w:r>
    </w:p>
    <w:p w14:paraId="2FDD5548" w14:textId="77777777" w:rsidR="00AB7C90" w:rsidRPr="00E93C91" w:rsidRDefault="00B822DF"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đ</w:t>
      </w:r>
      <w:r w:rsidR="00AB7C90" w:rsidRPr="00E93C91">
        <w:rPr>
          <w:rFonts w:ascii="Times New Roman" w:hAnsi="Times New Roman" w:cs="Times New Roman"/>
          <w:sz w:val="28"/>
          <w:szCs w:val="28"/>
        </w:rPr>
        <w:t xml:space="preserve">.1) </w:t>
      </w:r>
      <w:r w:rsidR="00591A6A" w:rsidRPr="00E93C91">
        <w:rPr>
          <w:rFonts w:ascii="Times New Roman" w:hAnsi="Times New Roman" w:cs="Times New Roman"/>
          <w:sz w:val="28"/>
          <w:szCs w:val="28"/>
        </w:rPr>
        <w:t>Chi phí k</w:t>
      </w:r>
      <w:r w:rsidR="00AB7C90" w:rsidRPr="00E93C91">
        <w:rPr>
          <w:rFonts w:ascii="Times New Roman" w:hAnsi="Times New Roman" w:cs="Times New Roman"/>
          <w:sz w:val="28"/>
          <w:szCs w:val="28"/>
        </w:rPr>
        <w:t>hấu hao thiết bị</w:t>
      </w:r>
      <w:r w:rsidR="0099674D" w:rsidRPr="00E93C91">
        <w:rPr>
          <w:rFonts w:ascii="Times New Roman" w:hAnsi="Times New Roman" w:cs="Times New Roman"/>
          <w:sz w:val="28"/>
          <w:szCs w:val="28"/>
        </w:rPr>
        <w:t>: T</w:t>
      </w:r>
      <w:r w:rsidR="00AB7C90" w:rsidRPr="00E93C91">
        <w:rPr>
          <w:rFonts w:ascii="Times New Roman" w:hAnsi="Times New Roman" w:cs="Times New Roman"/>
          <w:sz w:val="28"/>
          <w:szCs w:val="28"/>
        </w:rPr>
        <w:t>heo quy định hiện hành về khấu hao tài sản cố định đối với đơn vị sự nghiệp công lập và theo lộ trình kết cấu chi phí khấu hao tài sản cố định vào giá sản phẩm do cấp có thẩm quyền quy định.</w:t>
      </w:r>
    </w:p>
    <w:p w14:paraId="591D6CF1" w14:textId="77777777" w:rsidR="00AB7C90" w:rsidRPr="00E93C91" w:rsidRDefault="001D0483"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Trong đó chi phí khấu hao máy móc thiết bị là hao phí về máy móc thiết bị sử dụng trong thời gian thực hiện nhiệm vụ, dự án. Chi phí khấu hao máy móc thiết bị bằng (=) Số ca máy theo định mức nhân (x) Mức khấu hao một ca máy.</w:t>
      </w:r>
    </w:p>
    <w:p w14:paraId="58E945D2" w14:textId="77777777" w:rsidR="007D1568" w:rsidRDefault="007D1568"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Trong đó: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484"/>
        <w:gridCol w:w="6096"/>
      </w:tblGrid>
      <w:tr w:rsidR="00E93C91" w:rsidRPr="00E93C91" w14:paraId="6773741C" w14:textId="77777777" w:rsidTr="007D1568">
        <w:tc>
          <w:tcPr>
            <w:tcW w:w="2346" w:type="dxa"/>
            <w:vMerge w:val="restart"/>
            <w:vAlign w:val="center"/>
          </w:tcPr>
          <w:p w14:paraId="08287531" w14:textId="77777777" w:rsidR="007D1568" w:rsidRPr="00E93C91" w:rsidRDefault="007D1568" w:rsidP="00F52CA8">
            <w:pPr>
              <w:spacing w:before="60" w:after="60"/>
              <w:jc w:val="center"/>
              <w:rPr>
                <w:rFonts w:ascii="Times New Roman" w:hAnsi="Times New Roman" w:cs="Times New Roman"/>
                <w:sz w:val="28"/>
                <w:szCs w:val="28"/>
              </w:rPr>
            </w:pPr>
            <w:r w:rsidRPr="00E93C91">
              <w:rPr>
                <w:rFonts w:ascii="Times New Roman" w:hAnsi="Times New Roman" w:cs="Times New Roman"/>
                <w:sz w:val="28"/>
                <w:szCs w:val="28"/>
              </w:rPr>
              <w:t>Mức khấu hao một ca máy</w:t>
            </w:r>
          </w:p>
        </w:tc>
        <w:tc>
          <w:tcPr>
            <w:tcW w:w="484" w:type="dxa"/>
            <w:vMerge w:val="restart"/>
            <w:vAlign w:val="center"/>
          </w:tcPr>
          <w:p w14:paraId="13247B7F" w14:textId="77777777" w:rsidR="007D1568" w:rsidRPr="00E93C91" w:rsidRDefault="007D1568" w:rsidP="00F52CA8">
            <w:pPr>
              <w:spacing w:before="60" w:after="60"/>
              <w:jc w:val="center"/>
              <w:rPr>
                <w:rFonts w:ascii="Times New Roman" w:hAnsi="Times New Roman" w:cs="Times New Roman"/>
                <w:sz w:val="28"/>
                <w:szCs w:val="28"/>
              </w:rPr>
            </w:pPr>
            <w:r w:rsidRPr="00E93C91">
              <w:rPr>
                <w:rFonts w:ascii="Times New Roman" w:hAnsi="Times New Roman" w:cs="Times New Roman"/>
                <w:sz w:val="28"/>
                <w:szCs w:val="28"/>
              </w:rPr>
              <w:t>=</w:t>
            </w:r>
          </w:p>
        </w:tc>
        <w:tc>
          <w:tcPr>
            <w:tcW w:w="6096" w:type="dxa"/>
            <w:tcBorders>
              <w:bottom w:val="single" w:sz="4" w:space="0" w:color="auto"/>
            </w:tcBorders>
            <w:vAlign w:val="center"/>
          </w:tcPr>
          <w:p w14:paraId="79A26E6E" w14:textId="77777777" w:rsidR="007D1568" w:rsidRPr="00E93C91" w:rsidRDefault="007D1568" w:rsidP="00F52CA8">
            <w:pPr>
              <w:spacing w:before="60" w:after="60"/>
              <w:jc w:val="center"/>
              <w:rPr>
                <w:rFonts w:ascii="Times New Roman" w:hAnsi="Times New Roman" w:cs="Times New Roman"/>
                <w:sz w:val="28"/>
                <w:szCs w:val="28"/>
              </w:rPr>
            </w:pPr>
            <w:r w:rsidRPr="00E93C91">
              <w:rPr>
                <w:rFonts w:ascii="Times New Roman" w:hAnsi="Times New Roman" w:cs="Times New Roman"/>
                <w:sz w:val="28"/>
                <w:szCs w:val="28"/>
              </w:rPr>
              <w:t>Mức khấu hao một ca máy</w:t>
            </w:r>
          </w:p>
        </w:tc>
      </w:tr>
      <w:tr w:rsidR="00E93C91" w:rsidRPr="00E93C91" w14:paraId="026598DD" w14:textId="77777777" w:rsidTr="007D1568">
        <w:tc>
          <w:tcPr>
            <w:tcW w:w="2346" w:type="dxa"/>
            <w:vMerge/>
            <w:vAlign w:val="center"/>
          </w:tcPr>
          <w:p w14:paraId="533A43A4" w14:textId="77777777" w:rsidR="007D1568" w:rsidRPr="00E93C91" w:rsidRDefault="007D1568" w:rsidP="00F52CA8">
            <w:pPr>
              <w:spacing w:before="60" w:after="60"/>
              <w:jc w:val="center"/>
              <w:rPr>
                <w:rFonts w:ascii="Times New Roman" w:hAnsi="Times New Roman" w:cs="Times New Roman"/>
                <w:sz w:val="28"/>
                <w:szCs w:val="28"/>
              </w:rPr>
            </w:pPr>
          </w:p>
        </w:tc>
        <w:tc>
          <w:tcPr>
            <w:tcW w:w="484" w:type="dxa"/>
            <w:vMerge/>
            <w:vAlign w:val="center"/>
          </w:tcPr>
          <w:p w14:paraId="7D41D2E0" w14:textId="77777777" w:rsidR="007D1568" w:rsidRPr="00E93C91" w:rsidRDefault="007D1568" w:rsidP="00F52CA8">
            <w:pPr>
              <w:spacing w:before="60" w:after="60"/>
              <w:jc w:val="center"/>
              <w:rPr>
                <w:rFonts w:ascii="Times New Roman" w:hAnsi="Times New Roman" w:cs="Times New Roman"/>
                <w:sz w:val="28"/>
                <w:szCs w:val="28"/>
              </w:rPr>
            </w:pPr>
          </w:p>
        </w:tc>
        <w:tc>
          <w:tcPr>
            <w:tcW w:w="6096" w:type="dxa"/>
            <w:tcBorders>
              <w:top w:val="single" w:sz="4" w:space="0" w:color="auto"/>
            </w:tcBorders>
            <w:vAlign w:val="center"/>
          </w:tcPr>
          <w:p w14:paraId="6143D595" w14:textId="77777777" w:rsidR="007D1568" w:rsidRPr="00E93C91" w:rsidRDefault="007D1568" w:rsidP="00F52CA8">
            <w:pPr>
              <w:spacing w:before="60" w:after="60"/>
              <w:jc w:val="center"/>
              <w:rPr>
                <w:rFonts w:ascii="Times New Roman" w:hAnsi="Times New Roman" w:cs="Times New Roman"/>
                <w:sz w:val="28"/>
                <w:szCs w:val="28"/>
              </w:rPr>
            </w:pPr>
            <w:r w:rsidRPr="00E93C91">
              <w:rPr>
                <w:rFonts w:ascii="Times New Roman" w:hAnsi="Times New Roman" w:cs="Times New Roman"/>
                <w:sz w:val="28"/>
                <w:szCs w:val="28"/>
              </w:rPr>
              <w:t>Số ca máy sử dụng một năm x Số năm sử dụng</w:t>
            </w:r>
          </w:p>
        </w:tc>
      </w:tr>
    </w:tbl>
    <w:p w14:paraId="0EA600B3" w14:textId="77777777" w:rsidR="00E6237F" w:rsidRPr="00E93C91" w:rsidRDefault="00E6237F"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Thời gian sử dụng thiết bị được tính bằng năm, một năm có 12 tháng.</w:t>
      </w:r>
    </w:p>
    <w:p w14:paraId="11757F2A" w14:textId="77777777" w:rsidR="00E6237F" w:rsidRPr="00E93C91" w:rsidRDefault="00E6237F"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 xml:space="preserve">Thời hạn sử dụng của từng loại thiết bị </w:t>
      </w:r>
      <w:r w:rsidR="00664CE0" w:rsidRPr="00E93C91">
        <w:rPr>
          <w:rFonts w:ascii="Times New Roman" w:hAnsi="Times New Roman" w:cs="Times New Roman"/>
          <w:sz w:val="28"/>
          <w:szCs w:val="28"/>
        </w:rPr>
        <w:t xml:space="preserve">căn cứ theo: Thông tư số 45/2018/TT-BTC ngày 07 tháng 5 năm 2018 của Bộ trưởng Bộ Tài chính hướng </w:t>
      </w:r>
      <w:r w:rsidR="00664CE0" w:rsidRPr="00E93C91">
        <w:rPr>
          <w:rFonts w:ascii="Times New Roman" w:hAnsi="Times New Roman" w:cs="Times New Roman"/>
          <w:sz w:val="28"/>
          <w:szCs w:val="28"/>
        </w:rPr>
        <w:lastRenderedPageBreak/>
        <w:t>dẫn chế độ quản lý, tính hao mòn, khấu hao tài sản cố định tại cơ quan, tổ chức, đơn vị và tài sản cố định do Nhà nước giao cho doanh nghiệp quản lý không tính thành phần vốn nhà nước tại doanh nghiệp</w:t>
      </w:r>
      <w:r w:rsidRPr="00E93C91">
        <w:rPr>
          <w:rFonts w:ascii="Times New Roman" w:hAnsi="Times New Roman" w:cs="Times New Roman"/>
          <w:sz w:val="28"/>
          <w:szCs w:val="28"/>
        </w:rPr>
        <w:t>.</w:t>
      </w:r>
    </w:p>
    <w:p w14:paraId="639C3836" w14:textId="77777777" w:rsidR="00E6237F" w:rsidRPr="00E93C91" w:rsidRDefault="00E6237F"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Theo điểm a, Khoản 1, Mục I Phụ lục số 04 của Thông tư 136/2017/TT-BTC: Số ca máy sử dụng một năm: Máy ngoại nghiệp là 250 ca (riêng thiết bị đo biển là 200 ca); máy nội nghiệp là 500 ca.</w:t>
      </w:r>
    </w:p>
    <w:p w14:paraId="6C9373F2" w14:textId="16BF932D" w:rsidR="002A0520" w:rsidRPr="00E93C91" w:rsidRDefault="00391F61"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 xml:space="preserve">Bước Công việc tiếp nhận thông tin, dữ liệu tài nguyên và môi trường: </w:t>
      </w:r>
      <w:r w:rsidR="002A0520" w:rsidRPr="00E93C91">
        <w:rPr>
          <w:rFonts w:ascii="Times New Roman" w:hAnsi="Times New Roman" w:cs="Times New Roman"/>
          <w:sz w:val="28"/>
          <w:szCs w:val="28"/>
          <w:lang w:val="vi-VN"/>
        </w:rPr>
        <w:t xml:space="preserve">Định mức thiết bị tính trong trường hợp tài liệu tiếp nhận có cả dạng giấy và dạng số. Trường hợp tài liệu chỉ có dạng giấy tính bằng 0,60 </w:t>
      </w:r>
      <w:r w:rsidR="009304C3">
        <w:rPr>
          <w:rFonts w:ascii="Times New Roman" w:hAnsi="Times New Roman" w:cs="Times New Roman"/>
          <w:sz w:val="28"/>
          <w:szCs w:val="28"/>
        </w:rPr>
        <w:t>mức thiết bị</w:t>
      </w:r>
      <w:r w:rsidR="003A343A" w:rsidRPr="00E93C91">
        <w:rPr>
          <w:rFonts w:ascii="Times New Roman" w:hAnsi="Times New Roman" w:cs="Times New Roman"/>
          <w:sz w:val="28"/>
          <w:szCs w:val="28"/>
          <w:lang w:val="vi-VN"/>
        </w:rPr>
        <w:t xml:space="preserve"> tính trong trường hợp tài liệu tiếp nhận có cả dạng giấy và dạng số</w:t>
      </w:r>
      <w:r w:rsidR="002A0520" w:rsidRPr="00E93C91">
        <w:rPr>
          <w:rFonts w:ascii="Times New Roman" w:hAnsi="Times New Roman" w:cs="Times New Roman"/>
          <w:sz w:val="28"/>
          <w:szCs w:val="28"/>
          <w:lang w:val="vi-VN"/>
        </w:rPr>
        <w:t xml:space="preserve">. Trường hợp tài liệu chỉ có dạng số tính bằng 0,20 </w:t>
      </w:r>
      <w:r w:rsidR="009304C3">
        <w:rPr>
          <w:rFonts w:ascii="Times New Roman" w:hAnsi="Times New Roman" w:cs="Times New Roman"/>
          <w:sz w:val="28"/>
          <w:szCs w:val="28"/>
        </w:rPr>
        <w:t>mức thiết bị</w:t>
      </w:r>
      <w:r w:rsidR="009304C3" w:rsidRPr="00E93C91">
        <w:rPr>
          <w:rFonts w:ascii="Times New Roman" w:hAnsi="Times New Roman" w:cs="Times New Roman"/>
          <w:sz w:val="28"/>
          <w:szCs w:val="28"/>
          <w:lang w:val="vi-VN"/>
        </w:rPr>
        <w:t xml:space="preserve"> </w:t>
      </w:r>
      <w:r w:rsidR="003A343A" w:rsidRPr="00E93C91">
        <w:rPr>
          <w:rFonts w:ascii="Times New Roman" w:hAnsi="Times New Roman" w:cs="Times New Roman"/>
          <w:sz w:val="28"/>
          <w:szCs w:val="28"/>
          <w:lang w:val="vi-VN"/>
        </w:rPr>
        <w:t>tính trong trường hợp tài liệu tiếp nhận có cả dạng giấy và dạng số</w:t>
      </w:r>
      <w:r w:rsidRPr="00E93C91">
        <w:rPr>
          <w:rFonts w:ascii="Times New Roman" w:hAnsi="Times New Roman" w:cs="Times New Roman"/>
          <w:sz w:val="28"/>
          <w:szCs w:val="28"/>
        </w:rPr>
        <w:t>.</w:t>
      </w:r>
    </w:p>
    <w:p w14:paraId="2B66BC32" w14:textId="4DB47FA9" w:rsidR="00391F61" w:rsidRPr="00E93C91" w:rsidRDefault="000D5A00" w:rsidP="00F52CA8">
      <w:pPr>
        <w:spacing w:before="60" w:after="60" w:line="240" w:lineRule="auto"/>
        <w:ind w:firstLine="720"/>
        <w:jc w:val="both"/>
        <w:rPr>
          <w:rFonts w:ascii="Times New Roman" w:hAnsi="Times New Roman" w:cs="Times New Roman"/>
          <w:sz w:val="28"/>
        </w:rPr>
      </w:pPr>
      <w:r w:rsidRPr="00E93C91">
        <w:rPr>
          <w:rFonts w:ascii="Times New Roman" w:hAnsi="Times New Roman" w:cs="Times New Roman"/>
          <w:sz w:val="28"/>
          <w:szCs w:val="28"/>
        </w:rPr>
        <w:t>Bước Công việc chỉnh lý tài liệu lưu trữ dạng giấy</w:t>
      </w:r>
      <w:r w:rsidRPr="00E93C91">
        <w:rPr>
          <w:rFonts w:ascii="Times New Roman" w:hAnsi="Times New Roman" w:cs="Times New Roman"/>
          <w:sz w:val="28"/>
        </w:rPr>
        <w:t xml:space="preserve">: </w:t>
      </w:r>
      <w:r w:rsidR="00391F61" w:rsidRPr="00E93C91">
        <w:rPr>
          <w:rFonts w:ascii="Times New Roman" w:hAnsi="Times New Roman" w:cs="Times New Roman"/>
          <w:sz w:val="28"/>
          <w:lang w:val="vi-VN"/>
        </w:rPr>
        <w:t xml:space="preserve">Định mức thiết bị tính cho việc Chỉnh lý tài liệu trong trường hợp tài liệu đã chỉnh lý sơ bộ. Đối với việc Chỉnh lý tài liệu trong trường hợp tài liệu chưa lập hồ sơ (tài liệu rời lẻ) tính bằng 1,10 mức </w:t>
      </w:r>
      <w:r w:rsidR="009304C3">
        <w:rPr>
          <w:rFonts w:ascii="Times New Roman" w:hAnsi="Times New Roman" w:cs="Times New Roman"/>
          <w:sz w:val="28"/>
          <w:szCs w:val="28"/>
        </w:rPr>
        <w:t>thiết bị</w:t>
      </w:r>
      <w:r w:rsidR="003A343A" w:rsidRPr="00E93C91">
        <w:rPr>
          <w:rFonts w:ascii="Times New Roman" w:hAnsi="Times New Roman" w:cs="Times New Roman"/>
          <w:sz w:val="28"/>
          <w:szCs w:val="28"/>
          <w:lang w:val="vi-VN"/>
        </w:rPr>
        <w:t xml:space="preserve"> tính cho việc Chỉnh lý tài liệu dạng giấy trong trường hợp tài liệu đã chỉnh lý sơ bộ</w:t>
      </w:r>
      <w:r w:rsidR="00391F61" w:rsidRPr="00E93C91">
        <w:rPr>
          <w:rFonts w:ascii="Times New Roman" w:hAnsi="Times New Roman" w:cs="Times New Roman"/>
          <w:sz w:val="28"/>
        </w:rPr>
        <w:t>.</w:t>
      </w:r>
    </w:p>
    <w:p w14:paraId="25B8A6C9" w14:textId="33D87EA7" w:rsidR="009B32EF" w:rsidRPr="00E93C91" w:rsidRDefault="009B32EF" w:rsidP="00F52CA8">
      <w:pPr>
        <w:spacing w:before="60" w:after="60" w:line="240" w:lineRule="auto"/>
        <w:ind w:firstLine="709"/>
        <w:jc w:val="both"/>
        <w:rPr>
          <w:rFonts w:ascii="Times New Roman" w:hAnsi="Times New Roman" w:cs="Times New Roman"/>
          <w:sz w:val="28"/>
          <w:szCs w:val="28"/>
        </w:rPr>
      </w:pPr>
      <w:r w:rsidRPr="00E93C91">
        <w:rPr>
          <w:rFonts w:ascii="Times New Roman" w:hAnsi="Times New Roman" w:cs="Times New Roman"/>
          <w:sz w:val="28"/>
          <w:szCs w:val="28"/>
        </w:rPr>
        <w:t xml:space="preserve">Bước công việc bảo quản kho lưu trữ tài liệu: </w:t>
      </w:r>
      <w:r w:rsidRPr="00E93C91">
        <w:rPr>
          <w:rFonts w:ascii="Times New Roman" w:hAnsi="Times New Roman" w:cs="Times New Roman"/>
          <w:sz w:val="28"/>
          <w:szCs w:val="28"/>
          <w:lang w:val="vi-VN"/>
        </w:rPr>
        <w:t xml:space="preserve">Định mức </w:t>
      </w:r>
      <w:r w:rsidRPr="00E93C91">
        <w:rPr>
          <w:rFonts w:ascii="Times New Roman" w:hAnsi="Times New Roman" w:cs="Times New Roman"/>
          <w:sz w:val="28"/>
          <w:szCs w:val="28"/>
        </w:rPr>
        <w:t>thiết bị</w:t>
      </w:r>
      <w:r w:rsidRPr="00E93C91">
        <w:rPr>
          <w:rFonts w:ascii="Times New Roman" w:hAnsi="Times New Roman" w:cs="Times New Roman"/>
          <w:sz w:val="28"/>
          <w:szCs w:val="28"/>
          <w:lang w:val="vi-VN"/>
        </w:rPr>
        <w:t xml:space="preserve"> tính cho kho bảo quản tài liệu lưu trữ là kho thông thường</w:t>
      </w:r>
      <w:r w:rsidRPr="00E93C91">
        <w:rPr>
          <w:rFonts w:ascii="Times New Roman" w:hAnsi="Times New Roman" w:cs="Times New Roman"/>
          <w:sz w:val="28"/>
          <w:szCs w:val="28"/>
        </w:rPr>
        <w:t xml:space="preserve"> là 1,20.</w:t>
      </w:r>
    </w:p>
    <w:p w14:paraId="09D6BDD6" w14:textId="6B2E7E5E" w:rsidR="009B32EF" w:rsidRPr="00E93C91" w:rsidRDefault="009B32EF" w:rsidP="00F52CA8">
      <w:pPr>
        <w:spacing w:before="60" w:after="60" w:line="240" w:lineRule="auto"/>
        <w:ind w:firstLine="709"/>
        <w:jc w:val="both"/>
        <w:rPr>
          <w:rFonts w:ascii="Times New Roman" w:hAnsi="Times New Roman" w:cs="Times New Roman"/>
          <w:sz w:val="28"/>
          <w:szCs w:val="28"/>
        </w:rPr>
      </w:pPr>
      <w:r w:rsidRPr="00E93C91">
        <w:rPr>
          <w:rFonts w:ascii="Times New Roman" w:hAnsi="Times New Roman" w:cs="Times New Roman"/>
          <w:sz w:val="28"/>
          <w:szCs w:val="28"/>
        </w:rPr>
        <w:t xml:space="preserve">Bước công việc bảo quản tài liệu lưu trữ dạng giấy: </w:t>
      </w:r>
      <w:r w:rsidRPr="00E93C91">
        <w:rPr>
          <w:rFonts w:ascii="Times New Roman" w:hAnsi="Times New Roman" w:cs="Times New Roman"/>
          <w:sz w:val="28"/>
          <w:szCs w:val="28"/>
          <w:lang w:val="vi-VN"/>
        </w:rPr>
        <w:t xml:space="preserve">Định mức </w:t>
      </w:r>
      <w:r w:rsidRPr="00E93C91">
        <w:rPr>
          <w:rFonts w:ascii="Times New Roman" w:hAnsi="Times New Roman" w:cs="Times New Roman"/>
          <w:sz w:val="28"/>
          <w:szCs w:val="28"/>
        </w:rPr>
        <w:t>thiết bị</w:t>
      </w:r>
      <w:r w:rsidRPr="00E93C91">
        <w:rPr>
          <w:rFonts w:ascii="Times New Roman" w:hAnsi="Times New Roman" w:cs="Times New Roman"/>
          <w:sz w:val="28"/>
          <w:szCs w:val="28"/>
          <w:lang w:val="vi-VN"/>
        </w:rPr>
        <w:t xml:space="preserve"> tính cho kho bảo quản tài liệu lưu trữ là kho thông thường</w:t>
      </w:r>
      <w:r w:rsidRPr="00E93C91">
        <w:rPr>
          <w:rFonts w:ascii="Times New Roman" w:hAnsi="Times New Roman" w:cs="Times New Roman"/>
          <w:sz w:val="28"/>
          <w:szCs w:val="28"/>
        </w:rPr>
        <w:t xml:space="preserve"> là 1,20.</w:t>
      </w:r>
    </w:p>
    <w:p w14:paraId="0494D06A" w14:textId="77777777" w:rsidR="001A7C8B" w:rsidRPr="00E93C91" w:rsidRDefault="001A7C8B" w:rsidP="00F52CA8">
      <w:pPr>
        <w:spacing w:before="60" w:after="60" w:line="240" w:lineRule="auto"/>
        <w:ind w:firstLine="709"/>
        <w:jc w:val="both"/>
        <w:rPr>
          <w:rFonts w:ascii="Times New Roman" w:hAnsi="Times New Roman" w:cs="Times New Roman"/>
          <w:sz w:val="28"/>
          <w:szCs w:val="28"/>
        </w:rPr>
      </w:pPr>
      <w:r w:rsidRPr="00E93C91">
        <w:rPr>
          <w:rFonts w:ascii="Times New Roman" w:hAnsi="Times New Roman" w:cs="Times New Roman"/>
          <w:sz w:val="28"/>
          <w:szCs w:val="28"/>
        </w:rPr>
        <w:t xml:space="preserve">Bước công việc xây dựng cơ sở dữ liệu tài liệu lưu trữ điện tử: </w:t>
      </w:r>
      <w:r w:rsidRPr="00E93C91">
        <w:rPr>
          <w:rFonts w:ascii="Times New Roman" w:hAnsi="Times New Roman" w:cs="Times New Roman"/>
          <w:sz w:val="28"/>
          <w:szCs w:val="28"/>
          <w:lang w:val="vi-VN"/>
        </w:rPr>
        <w:t>Số hóa tài liệu (bước này áp dụng định mức công việc Quét (chụp) tài liệu quy định tại Điểm 4.2, Khoản 4, Chương I, Phần 3, Thông tư số 26/2014/TT-BTNMT)</w:t>
      </w:r>
      <w:r w:rsidRPr="00E93C91">
        <w:rPr>
          <w:rFonts w:ascii="Times New Roman" w:hAnsi="Times New Roman" w:cs="Times New Roman"/>
          <w:sz w:val="28"/>
          <w:szCs w:val="28"/>
        </w:rPr>
        <w:t xml:space="preserve">; </w:t>
      </w:r>
      <w:r w:rsidRPr="00E93C91">
        <w:rPr>
          <w:rFonts w:ascii="Times New Roman" w:hAnsi="Times New Roman" w:cs="Times New Roman"/>
          <w:sz w:val="28"/>
          <w:szCs w:val="28"/>
          <w:lang w:val="vi-VN"/>
        </w:rPr>
        <w:t>Cập nhật tài liệu số hóa vào cơ sở dữ liệu tài liệu lưu trữ điện tử (bước này áp dụng định mức công việc Xử lý và đính kèm tài liệu quét quy định tại Điểm 4.2, Khoản 4, Chương I, Phần 3, Thông tư số 26/2014/TT-BTNMT)</w:t>
      </w:r>
      <w:r w:rsidRPr="00E93C91">
        <w:rPr>
          <w:rFonts w:ascii="Times New Roman" w:hAnsi="Times New Roman" w:cs="Times New Roman"/>
          <w:sz w:val="28"/>
          <w:szCs w:val="28"/>
        </w:rPr>
        <w:t>.</w:t>
      </w:r>
    </w:p>
    <w:p w14:paraId="7B25542B" w14:textId="77777777" w:rsidR="003B326A" w:rsidRPr="00E93C91" w:rsidRDefault="00B822DF"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đ</w:t>
      </w:r>
      <w:r w:rsidR="0099674D" w:rsidRPr="00E93C91">
        <w:rPr>
          <w:rFonts w:ascii="Times New Roman" w:hAnsi="Times New Roman" w:cs="Times New Roman"/>
          <w:sz w:val="28"/>
          <w:szCs w:val="28"/>
        </w:rPr>
        <w:t xml:space="preserve">.2) </w:t>
      </w:r>
      <w:r w:rsidR="0099674D" w:rsidRPr="00E93C91">
        <w:rPr>
          <w:rFonts w:ascii="Times New Roman" w:hAnsi="Times New Roman" w:cs="Times New Roman"/>
          <w:spacing w:val="-2"/>
          <w:sz w:val="28"/>
          <w:szCs w:val="28"/>
        </w:rPr>
        <w:t>Chi phí điện năng tiêu thụ của thiết bị:</w:t>
      </w:r>
      <w:r w:rsidR="00B015D2" w:rsidRPr="00E93C91">
        <w:rPr>
          <w:rFonts w:ascii="Times New Roman" w:hAnsi="Times New Roman" w:cs="Times New Roman"/>
          <w:spacing w:val="-2"/>
          <w:sz w:val="28"/>
          <w:szCs w:val="28"/>
        </w:rPr>
        <w:t xml:space="preserve"> </w:t>
      </w:r>
      <w:r w:rsidR="00B015D2" w:rsidRPr="00E93C91">
        <w:rPr>
          <w:rFonts w:ascii="Times New Roman" w:hAnsi="Times New Roman" w:cs="Times New Roman"/>
          <w:sz w:val="28"/>
          <w:szCs w:val="28"/>
        </w:rPr>
        <w:t>Là chi phí sử dụng năng lượng dùng cho máy móc, thiết bị vận hành trong thời gian thực hiện nhiệm vụ, dự án</w:t>
      </w:r>
      <w:r w:rsidR="003B326A" w:rsidRPr="00E93C91">
        <w:rPr>
          <w:rFonts w:ascii="Times New Roman" w:hAnsi="Times New Roman" w:cs="Times New Roman"/>
          <w:sz w:val="28"/>
          <w:szCs w:val="28"/>
        </w:rPr>
        <w:t>.</w:t>
      </w:r>
    </w:p>
    <w:p w14:paraId="621AECAE" w14:textId="77777777" w:rsidR="00DD0F38" w:rsidRPr="00E93C91" w:rsidRDefault="00B015D2" w:rsidP="00F52CA8">
      <w:pPr>
        <w:spacing w:before="60" w:after="60" w:line="240" w:lineRule="auto"/>
        <w:ind w:firstLine="720"/>
        <w:jc w:val="both"/>
        <w:rPr>
          <w:rFonts w:ascii="Times New Roman" w:hAnsi="Times New Roman" w:cs="Times New Roman"/>
          <w:spacing w:val="-2"/>
          <w:sz w:val="28"/>
          <w:szCs w:val="28"/>
        </w:rPr>
      </w:pPr>
      <w:r w:rsidRPr="00E93C91">
        <w:rPr>
          <w:rFonts w:ascii="Times New Roman" w:hAnsi="Times New Roman" w:cs="Times New Roman"/>
          <w:spacing w:val="-2"/>
          <w:sz w:val="28"/>
          <w:szCs w:val="28"/>
        </w:rPr>
        <w:t xml:space="preserve">Cách tính tương tự như điểm </w:t>
      </w:r>
      <w:r w:rsidRPr="00E93C91">
        <w:rPr>
          <w:rFonts w:ascii="Times New Roman" w:hAnsi="Times New Roman" w:cs="Times New Roman"/>
          <w:i/>
          <w:spacing w:val="-2"/>
          <w:sz w:val="28"/>
          <w:szCs w:val="28"/>
        </w:rPr>
        <w:t>“b.2) Chi phí điện năng tiêu thụ của dụng cụ”</w:t>
      </w:r>
      <w:r w:rsidR="00CD7635" w:rsidRPr="00E93C91">
        <w:rPr>
          <w:rFonts w:ascii="Times New Roman" w:hAnsi="Times New Roman" w:cs="Times New Roman"/>
          <w:i/>
          <w:spacing w:val="-2"/>
          <w:sz w:val="28"/>
          <w:szCs w:val="28"/>
        </w:rPr>
        <w:t>.</w:t>
      </w:r>
    </w:p>
    <w:p w14:paraId="3DF6C12D" w14:textId="77777777" w:rsidR="00A34738" w:rsidRPr="00E93C91" w:rsidRDefault="00A34738" w:rsidP="00F52CA8">
      <w:pPr>
        <w:spacing w:before="60" w:after="60" w:line="240" w:lineRule="auto"/>
        <w:ind w:firstLine="720"/>
        <w:jc w:val="both"/>
        <w:rPr>
          <w:rFonts w:ascii="Times New Roman" w:hAnsi="Times New Roman" w:cs="Times New Roman"/>
          <w:b/>
          <w:i/>
          <w:sz w:val="28"/>
          <w:szCs w:val="28"/>
        </w:rPr>
      </w:pPr>
      <w:r w:rsidRPr="00E93C91">
        <w:rPr>
          <w:rFonts w:ascii="Times New Roman" w:hAnsi="Times New Roman" w:cs="Times New Roman"/>
          <w:b/>
          <w:i/>
          <w:sz w:val="28"/>
          <w:szCs w:val="28"/>
        </w:rPr>
        <w:t>2.2.2. Chi phí quản lý chung:</w:t>
      </w:r>
    </w:p>
    <w:p w14:paraId="3E5DBFC1" w14:textId="77777777" w:rsidR="00DD0F38" w:rsidRDefault="00AA5447" w:rsidP="00F52CA8">
      <w:pPr>
        <w:spacing w:before="60" w:after="60" w:line="240" w:lineRule="auto"/>
        <w:ind w:firstLine="720"/>
        <w:jc w:val="both"/>
        <w:rPr>
          <w:rFonts w:ascii="Times New Roman" w:hAnsi="Times New Roman" w:cs="Times New Roman"/>
          <w:sz w:val="28"/>
          <w:szCs w:val="28"/>
        </w:rPr>
      </w:pPr>
      <w:r w:rsidRPr="00E93C91">
        <w:rPr>
          <w:rFonts w:ascii="Times New Roman" w:hAnsi="Times New Roman" w:cs="Times New Roman"/>
          <w:sz w:val="28"/>
          <w:szCs w:val="28"/>
        </w:rPr>
        <w:t>Áp dụng định mức 15% trên chi phí trực tiếp cho nhóm công việc nội nghiệp</w:t>
      </w:r>
      <w:r w:rsidR="00560D66" w:rsidRPr="00E93C91">
        <w:rPr>
          <w:rFonts w:ascii="Times New Roman" w:hAnsi="Times New Roman" w:cs="Times New Roman"/>
          <w:sz w:val="28"/>
          <w:szCs w:val="28"/>
        </w:rPr>
        <w:t xml:space="preserve"> </w:t>
      </w:r>
      <w:r w:rsidR="00FF2866" w:rsidRPr="00E93C91">
        <w:rPr>
          <w:rFonts w:ascii="Times New Roman" w:hAnsi="Times New Roman" w:cs="Times New Roman"/>
          <w:sz w:val="28"/>
          <w:szCs w:val="28"/>
        </w:rPr>
        <w:t>và</w:t>
      </w:r>
      <w:r w:rsidR="00560D66" w:rsidRPr="00E93C91">
        <w:rPr>
          <w:rFonts w:ascii="Times New Roman" w:hAnsi="Times New Roman" w:cs="Times New Roman"/>
          <w:sz w:val="28"/>
          <w:szCs w:val="28"/>
        </w:rPr>
        <w:t xml:space="preserve"> </w:t>
      </w:r>
      <w:r w:rsidR="00986FBE" w:rsidRPr="00E93C91">
        <w:rPr>
          <w:rFonts w:ascii="Times New Roman" w:hAnsi="Times New Roman" w:cs="Times New Roman"/>
          <w:sz w:val="28"/>
          <w:szCs w:val="28"/>
        </w:rPr>
        <w:t>n</w:t>
      </w:r>
      <w:r w:rsidR="00560D66" w:rsidRPr="00E93C91">
        <w:rPr>
          <w:rFonts w:ascii="Times New Roman" w:hAnsi="Times New Roman" w:cs="Times New Roman"/>
          <w:sz w:val="28"/>
          <w:szCs w:val="28"/>
        </w:rPr>
        <w:t>hiệm vụ, dự án (hoặc hạng mục công việc có định mức kinh tế kỹ thuật)</w:t>
      </w:r>
      <w:r w:rsidRPr="00E93C91">
        <w:rPr>
          <w:rFonts w:ascii="Times New Roman" w:hAnsi="Times New Roman" w:cs="Times New Roman"/>
          <w:sz w:val="28"/>
          <w:szCs w:val="28"/>
        </w:rPr>
        <w:t>, quy định tại Khoản 3 Mục II Phụ lục số 04 của Thông tư 136/2017/TT-BTC</w:t>
      </w:r>
      <w:r w:rsidR="00DA1E83" w:rsidRPr="00E93C91">
        <w:rPr>
          <w:rFonts w:ascii="Times New Roman" w:hAnsi="Times New Roman" w:cs="Times New Roman"/>
          <w:sz w:val="28"/>
          <w:szCs w:val="28"/>
        </w:rPr>
        <w:t>.</w:t>
      </w:r>
    </w:p>
    <w:p w14:paraId="2D9211E0" w14:textId="77777777" w:rsidR="00FF6A6E" w:rsidRDefault="00FF6A6E" w:rsidP="003B326A">
      <w:pPr>
        <w:spacing w:before="120" w:after="120" w:line="240" w:lineRule="auto"/>
        <w:ind w:firstLine="720"/>
        <w:jc w:val="both"/>
        <w:rPr>
          <w:rFonts w:ascii="Times New Roman" w:hAnsi="Times New Roman" w:cs="Times New Roman"/>
          <w:b/>
          <w:sz w:val="28"/>
          <w:szCs w:val="28"/>
        </w:rPr>
      </w:pPr>
      <w:r w:rsidRPr="00E93C91">
        <w:rPr>
          <w:rFonts w:ascii="Times New Roman" w:hAnsi="Times New Roman" w:cs="Times New Roman"/>
          <w:b/>
          <w:sz w:val="28"/>
          <w:szCs w:val="28"/>
        </w:rPr>
        <w:t>3. Từ ngữ viết tắt</w:t>
      </w:r>
    </w:p>
    <w:tbl>
      <w:tblPr>
        <w:tblStyle w:val="TableGrid"/>
        <w:tblW w:w="5245" w:type="dxa"/>
        <w:tblInd w:w="2122" w:type="dxa"/>
        <w:tblLook w:val="04A0" w:firstRow="1" w:lastRow="0" w:firstColumn="1" w:lastColumn="0" w:noHBand="0" w:noVBand="1"/>
      </w:tblPr>
      <w:tblGrid>
        <w:gridCol w:w="1985"/>
        <w:gridCol w:w="3260"/>
      </w:tblGrid>
      <w:tr w:rsidR="00F52CA8" w:rsidRPr="00E93C91" w14:paraId="0F639768" w14:textId="77777777" w:rsidTr="00D204BC">
        <w:trPr>
          <w:tblHeader/>
        </w:trPr>
        <w:tc>
          <w:tcPr>
            <w:tcW w:w="1985" w:type="dxa"/>
            <w:vAlign w:val="center"/>
          </w:tcPr>
          <w:p w14:paraId="1E68C07B" w14:textId="77777777" w:rsidR="00F52CA8" w:rsidRPr="00E93C91" w:rsidRDefault="00F52CA8" w:rsidP="00D204BC">
            <w:pPr>
              <w:spacing w:before="120" w:after="120"/>
              <w:jc w:val="center"/>
              <w:rPr>
                <w:rFonts w:ascii="Times New Roman" w:hAnsi="Times New Roman" w:cs="Times New Roman"/>
                <w:b/>
                <w:sz w:val="28"/>
                <w:szCs w:val="28"/>
              </w:rPr>
            </w:pPr>
            <w:r w:rsidRPr="00E93C91">
              <w:rPr>
                <w:rFonts w:ascii="Times New Roman" w:hAnsi="Times New Roman" w:cs="Times New Roman"/>
                <w:b/>
                <w:sz w:val="28"/>
                <w:szCs w:val="28"/>
              </w:rPr>
              <w:t>Từ viết tắt</w:t>
            </w:r>
          </w:p>
        </w:tc>
        <w:tc>
          <w:tcPr>
            <w:tcW w:w="3260" w:type="dxa"/>
            <w:vAlign w:val="center"/>
          </w:tcPr>
          <w:p w14:paraId="33AD0347" w14:textId="77777777" w:rsidR="00F52CA8" w:rsidRPr="00E93C91" w:rsidRDefault="00F52CA8" w:rsidP="00D204BC">
            <w:pPr>
              <w:spacing w:before="120" w:after="120"/>
              <w:jc w:val="center"/>
              <w:rPr>
                <w:rFonts w:ascii="Times New Roman" w:hAnsi="Times New Roman" w:cs="Times New Roman"/>
                <w:b/>
                <w:sz w:val="28"/>
                <w:szCs w:val="28"/>
              </w:rPr>
            </w:pPr>
            <w:r w:rsidRPr="00E93C91">
              <w:rPr>
                <w:rFonts w:ascii="Times New Roman" w:hAnsi="Times New Roman" w:cs="Times New Roman"/>
                <w:b/>
                <w:sz w:val="28"/>
                <w:szCs w:val="28"/>
              </w:rPr>
              <w:t>Diễn giải</w:t>
            </w:r>
          </w:p>
        </w:tc>
      </w:tr>
      <w:tr w:rsidR="00F52CA8" w:rsidRPr="00E93C91" w14:paraId="02CB4A6C" w14:textId="77777777" w:rsidTr="00D204BC">
        <w:tc>
          <w:tcPr>
            <w:tcW w:w="1985" w:type="dxa"/>
            <w:vAlign w:val="center"/>
          </w:tcPr>
          <w:p w14:paraId="7AB437BC" w14:textId="77777777" w:rsidR="00F52CA8" w:rsidRPr="00E93C91" w:rsidRDefault="00F52CA8" w:rsidP="00D204BC">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KK1</w:t>
            </w:r>
          </w:p>
        </w:tc>
        <w:tc>
          <w:tcPr>
            <w:tcW w:w="3260" w:type="dxa"/>
            <w:vAlign w:val="center"/>
          </w:tcPr>
          <w:p w14:paraId="6ECB2805" w14:textId="77777777" w:rsidR="00F52CA8" w:rsidRPr="00E93C91" w:rsidRDefault="00F52CA8" w:rsidP="00D204BC">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Mức độ khó khăn 1</w:t>
            </w:r>
          </w:p>
        </w:tc>
      </w:tr>
      <w:tr w:rsidR="00F52CA8" w:rsidRPr="00E93C91" w14:paraId="24591315" w14:textId="77777777" w:rsidTr="00D204BC">
        <w:tc>
          <w:tcPr>
            <w:tcW w:w="1985" w:type="dxa"/>
            <w:vAlign w:val="center"/>
          </w:tcPr>
          <w:p w14:paraId="4BF2B56D" w14:textId="77777777" w:rsidR="00F52CA8" w:rsidRPr="00E93C91" w:rsidRDefault="00F52CA8" w:rsidP="00D204BC">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KK2</w:t>
            </w:r>
          </w:p>
        </w:tc>
        <w:tc>
          <w:tcPr>
            <w:tcW w:w="3260" w:type="dxa"/>
            <w:vAlign w:val="center"/>
          </w:tcPr>
          <w:p w14:paraId="3926E62D" w14:textId="77777777" w:rsidR="00F52CA8" w:rsidRPr="00E93C91" w:rsidRDefault="00F52CA8" w:rsidP="00D204BC">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Mức độ khó khăn 2</w:t>
            </w:r>
          </w:p>
        </w:tc>
      </w:tr>
      <w:tr w:rsidR="00F52CA8" w:rsidRPr="00E93C91" w14:paraId="224C96D6" w14:textId="77777777" w:rsidTr="00D204BC">
        <w:tc>
          <w:tcPr>
            <w:tcW w:w="1985" w:type="dxa"/>
            <w:vAlign w:val="center"/>
          </w:tcPr>
          <w:p w14:paraId="083DD217" w14:textId="77777777" w:rsidR="00F52CA8" w:rsidRPr="00E93C91" w:rsidRDefault="00F52CA8" w:rsidP="00D204BC">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lastRenderedPageBreak/>
              <w:t>KK3</w:t>
            </w:r>
          </w:p>
        </w:tc>
        <w:tc>
          <w:tcPr>
            <w:tcW w:w="3260" w:type="dxa"/>
            <w:vAlign w:val="center"/>
          </w:tcPr>
          <w:p w14:paraId="46B17E71" w14:textId="77777777" w:rsidR="00F52CA8" w:rsidRPr="00E93C91" w:rsidRDefault="00F52CA8" w:rsidP="00D204BC">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Mức độ khó khăn 3</w:t>
            </w:r>
          </w:p>
        </w:tc>
      </w:tr>
      <w:tr w:rsidR="00F52CA8" w:rsidRPr="00E93C91" w14:paraId="24D35BA0" w14:textId="77777777" w:rsidTr="00D204BC">
        <w:tc>
          <w:tcPr>
            <w:tcW w:w="1985" w:type="dxa"/>
            <w:vAlign w:val="center"/>
          </w:tcPr>
          <w:p w14:paraId="6F4344CA" w14:textId="77777777" w:rsidR="00F52CA8" w:rsidRPr="00E93C91" w:rsidRDefault="00F52CA8" w:rsidP="00D204BC">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KS1</w:t>
            </w:r>
          </w:p>
        </w:tc>
        <w:tc>
          <w:tcPr>
            <w:tcW w:w="3260" w:type="dxa"/>
            <w:vAlign w:val="center"/>
          </w:tcPr>
          <w:p w14:paraId="02B2EA4E" w14:textId="77777777" w:rsidR="00F52CA8" w:rsidRPr="00E93C91" w:rsidRDefault="00F52CA8" w:rsidP="00D204BC">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Kỹ sư bậc 1</w:t>
            </w:r>
          </w:p>
        </w:tc>
      </w:tr>
      <w:tr w:rsidR="00F52CA8" w:rsidRPr="00E93C91" w14:paraId="23309563" w14:textId="77777777" w:rsidTr="00D204BC">
        <w:tc>
          <w:tcPr>
            <w:tcW w:w="1985" w:type="dxa"/>
            <w:vAlign w:val="center"/>
          </w:tcPr>
          <w:p w14:paraId="5B6EBFD3" w14:textId="77777777" w:rsidR="00F52CA8" w:rsidRPr="00E93C91" w:rsidRDefault="00F52CA8" w:rsidP="00D204BC">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KS2</w:t>
            </w:r>
          </w:p>
        </w:tc>
        <w:tc>
          <w:tcPr>
            <w:tcW w:w="3260" w:type="dxa"/>
            <w:vAlign w:val="center"/>
          </w:tcPr>
          <w:p w14:paraId="42C1E30F" w14:textId="77777777" w:rsidR="00F52CA8" w:rsidRPr="00E93C91" w:rsidRDefault="00F52CA8" w:rsidP="00D204BC">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Kỹ sư bậc 2</w:t>
            </w:r>
          </w:p>
        </w:tc>
      </w:tr>
      <w:tr w:rsidR="00F52CA8" w:rsidRPr="00E93C91" w14:paraId="3C1D2AD6" w14:textId="77777777" w:rsidTr="00D204BC">
        <w:tc>
          <w:tcPr>
            <w:tcW w:w="1985" w:type="dxa"/>
            <w:vAlign w:val="center"/>
          </w:tcPr>
          <w:p w14:paraId="19DFAFC3" w14:textId="77777777" w:rsidR="00F52CA8" w:rsidRPr="00E93C91" w:rsidRDefault="00F52CA8" w:rsidP="00D204BC">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KS3</w:t>
            </w:r>
          </w:p>
        </w:tc>
        <w:tc>
          <w:tcPr>
            <w:tcW w:w="3260" w:type="dxa"/>
            <w:vAlign w:val="center"/>
          </w:tcPr>
          <w:p w14:paraId="3566998B" w14:textId="77777777" w:rsidR="00F52CA8" w:rsidRPr="00E93C91" w:rsidRDefault="00F52CA8" w:rsidP="00D204BC">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Kỹ sư bậc 3</w:t>
            </w:r>
          </w:p>
        </w:tc>
      </w:tr>
      <w:tr w:rsidR="00F52CA8" w:rsidRPr="00E93C91" w14:paraId="30C249FA" w14:textId="77777777" w:rsidTr="00D204BC">
        <w:tc>
          <w:tcPr>
            <w:tcW w:w="1985" w:type="dxa"/>
            <w:vAlign w:val="center"/>
          </w:tcPr>
          <w:p w14:paraId="46011634" w14:textId="77777777" w:rsidR="00F52CA8" w:rsidRPr="00E93C91" w:rsidRDefault="00F52CA8" w:rsidP="00D204BC">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KS4</w:t>
            </w:r>
          </w:p>
        </w:tc>
        <w:tc>
          <w:tcPr>
            <w:tcW w:w="3260" w:type="dxa"/>
            <w:vAlign w:val="center"/>
          </w:tcPr>
          <w:p w14:paraId="32BDA727" w14:textId="77777777" w:rsidR="00F52CA8" w:rsidRPr="00E93C91" w:rsidRDefault="00F52CA8" w:rsidP="00D204BC">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Kỹ sư bậc 4</w:t>
            </w:r>
          </w:p>
        </w:tc>
      </w:tr>
      <w:tr w:rsidR="00F52CA8" w:rsidRPr="00E93C91" w14:paraId="1D910924" w14:textId="77777777" w:rsidTr="00D204BC">
        <w:tc>
          <w:tcPr>
            <w:tcW w:w="1985" w:type="dxa"/>
            <w:vAlign w:val="center"/>
          </w:tcPr>
          <w:p w14:paraId="289CC840" w14:textId="77777777" w:rsidR="00F52CA8" w:rsidRPr="00E93C91" w:rsidRDefault="00F52CA8" w:rsidP="00D204BC">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KS7</w:t>
            </w:r>
          </w:p>
        </w:tc>
        <w:tc>
          <w:tcPr>
            <w:tcW w:w="3260" w:type="dxa"/>
            <w:vAlign w:val="center"/>
          </w:tcPr>
          <w:p w14:paraId="21BAFD38" w14:textId="77777777" w:rsidR="00F52CA8" w:rsidRPr="00E93C91" w:rsidRDefault="00F52CA8" w:rsidP="00D204BC">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Kỹ sư bậc 7</w:t>
            </w:r>
          </w:p>
        </w:tc>
      </w:tr>
      <w:tr w:rsidR="00F52CA8" w:rsidRPr="00E93C91" w14:paraId="25D31636" w14:textId="77777777" w:rsidTr="00D204BC">
        <w:tc>
          <w:tcPr>
            <w:tcW w:w="1985" w:type="dxa"/>
            <w:vAlign w:val="center"/>
          </w:tcPr>
          <w:p w14:paraId="60185B9B" w14:textId="77777777" w:rsidR="00F52CA8" w:rsidRPr="00E93C91" w:rsidRDefault="00F52CA8" w:rsidP="00D204BC">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KTV1</w:t>
            </w:r>
          </w:p>
        </w:tc>
        <w:tc>
          <w:tcPr>
            <w:tcW w:w="3260" w:type="dxa"/>
            <w:vAlign w:val="center"/>
          </w:tcPr>
          <w:p w14:paraId="217F259F" w14:textId="77777777" w:rsidR="00F52CA8" w:rsidRPr="00E93C91" w:rsidRDefault="00F52CA8" w:rsidP="00D204BC">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Kỹ thuật viên bậc 1</w:t>
            </w:r>
          </w:p>
        </w:tc>
      </w:tr>
      <w:tr w:rsidR="00F52CA8" w:rsidRPr="00E93C91" w14:paraId="02C00DE7" w14:textId="77777777" w:rsidTr="00D204BC">
        <w:tc>
          <w:tcPr>
            <w:tcW w:w="1985" w:type="dxa"/>
            <w:vAlign w:val="center"/>
          </w:tcPr>
          <w:p w14:paraId="2E07DA1A" w14:textId="77777777" w:rsidR="00F52CA8" w:rsidRPr="00E93C91" w:rsidRDefault="00F52CA8" w:rsidP="00D204BC">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KTV2</w:t>
            </w:r>
          </w:p>
        </w:tc>
        <w:tc>
          <w:tcPr>
            <w:tcW w:w="3260" w:type="dxa"/>
            <w:vAlign w:val="center"/>
          </w:tcPr>
          <w:p w14:paraId="7E46F208" w14:textId="77777777" w:rsidR="00F52CA8" w:rsidRPr="00E93C91" w:rsidRDefault="00F52CA8" w:rsidP="00D204BC">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Kỹ thuật viên bậc 2</w:t>
            </w:r>
          </w:p>
        </w:tc>
      </w:tr>
      <w:tr w:rsidR="00F52CA8" w:rsidRPr="00E93C91" w14:paraId="2B3C2AFD" w14:textId="77777777" w:rsidTr="00D204BC">
        <w:tc>
          <w:tcPr>
            <w:tcW w:w="1985" w:type="dxa"/>
            <w:vAlign w:val="center"/>
          </w:tcPr>
          <w:p w14:paraId="1CE20719" w14:textId="77777777" w:rsidR="00F52CA8" w:rsidRPr="00E93C91" w:rsidRDefault="00F52CA8" w:rsidP="00D204BC">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KTV6</w:t>
            </w:r>
          </w:p>
        </w:tc>
        <w:tc>
          <w:tcPr>
            <w:tcW w:w="3260" w:type="dxa"/>
            <w:vAlign w:val="center"/>
          </w:tcPr>
          <w:p w14:paraId="26371C0F" w14:textId="77777777" w:rsidR="00F52CA8" w:rsidRPr="00E93C91" w:rsidRDefault="00F52CA8" w:rsidP="00D204BC">
            <w:pPr>
              <w:spacing w:before="120" w:after="120"/>
              <w:jc w:val="center"/>
              <w:rPr>
                <w:rFonts w:ascii="Times New Roman" w:hAnsi="Times New Roman" w:cs="Times New Roman"/>
                <w:sz w:val="28"/>
                <w:szCs w:val="28"/>
              </w:rPr>
            </w:pPr>
            <w:r w:rsidRPr="00E93C91">
              <w:rPr>
                <w:rFonts w:ascii="Times New Roman" w:hAnsi="Times New Roman" w:cs="Times New Roman"/>
                <w:sz w:val="28"/>
                <w:szCs w:val="28"/>
              </w:rPr>
              <w:t>Kỹ thuật viên bậc 6</w:t>
            </w:r>
          </w:p>
        </w:tc>
      </w:tr>
    </w:tbl>
    <w:p w14:paraId="4A97035C" w14:textId="77777777" w:rsidR="00F52CA8" w:rsidRPr="00E93C91" w:rsidRDefault="00F52CA8" w:rsidP="003B326A">
      <w:pPr>
        <w:spacing w:before="120" w:after="120" w:line="240" w:lineRule="auto"/>
        <w:ind w:firstLine="720"/>
        <w:jc w:val="both"/>
        <w:rPr>
          <w:rFonts w:ascii="Times New Roman" w:hAnsi="Times New Roman" w:cs="Times New Roman"/>
          <w:b/>
          <w:sz w:val="28"/>
          <w:szCs w:val="28"/>
        </w:rPr>
      </w:pPr>
    </w:p>
    <w:p w14:paraId="15341C79" w14:textId="77777777" w:rsidR="00314733" w:rsidRPr="00E93C91" w:rsidRDefault="00290B94" w:rsidP="00F52CA8">
      <w:pPr>
        <w:spacing w:before="120" w:after="120" w:line="240" w:lineRule="auto"/>
        <w:jc w:val="both"/>
        <w:rPr>
          <w:rFonts w:ascii="Times New Roman" w:hAnsi="Times New Roman" w:cs="Times New Roman"/>
          <w:b/>
          <w:sz w:val="28"/>
          <w:szCs w:val="28"/>
          <w:lang w:val="en-GB"/>
        </w:rPr>
      </w:pPr>
      <w:r w:rsidRPr="00E93C91">
        <w:rPr>
          <w:rFonts w:ascii="Times New Roman" w:hAnsi="Times New Roman" w:cs="Times New Roman"/>
          <w:b/>
          <w:sz w:val="28"/>
          <w:szCs w:val="28"/>
          <w:lang w:val="en-GB"/>
        </w:rPr>
        <w:t xml:space="preserve">III. HƯỚNG DẪN </w:t>
      </w:r>
      <w:r w:rsidR="007F7CDB" w:rsidRPr="00E93C91">
        <w:rPr>
          <w:rFonts w:ascii="Times New Roman" w:hAnsi="Times New Roman" w:cs="Times New Roman"/>
          <w:b/>
          <w:sz w:val="28"/>
          <w:szCs w:val="28"/>
          <w:lang w:val="en-GB"/>
        </w:rPr>
        <w:t>ÁP</w:t>
      </w:r>
      <w:r w:rsidRPr="00E93C91">
        <w:rPr>
          <w:rFonts w:ascii="Times New Roman" w:hAnsi="Times New Roman" w:cs="Times New Roman"/>
          <w:b/>
          <w:sz w:val="28"/>
          <w:szCs w:val="28"/>
          <w:lang w:val="en-GB"/>
        </w:rPr>
        <w:t xml:space="preserve"> DỤNG ĐƠN GIÁ</w:t>
      </w:r>
    </w:p>
    <w:p w14:paraId="0B3509C1" w14:textId="77777777" w:rsidR="00C55B40" w:rsidRPr="00E93C91" w:rsidRDefault="00C55B40" w:rsidP="00936E41">
      <w:pPr>
        <w:spacing w:before="120" w:after="120" w:line="240" w:lineRule="auto"/>
        <w:ind w:firstLine="720"/>
        <w:jc w:val="both"/>
        <w:rPr>
          <w:rFonts w:ascii="Times New Roman" w:hAnsi="Times New Roman" w:cs="Times New Roman"/>
          <w:sz w:val="28"/>
          <w:szCs w:val="28"/>
          <w:lang w:val="en-GB"/>
        </w:rPr>
      </w:pPr>
      <w:r w:rsidRPr="00E93C91">
        <w:rPr>
          <w:rFonts w:ascii="Times New Roman" w:hAnsi="Times New Roman" w:cs="Times New Roman"/>
          <w:sz w:val="28"/>
          <w:szCs w:val="28"/>
          <w:lang w:val="en-GB"/>
        </w:rPr>
        <w:t>1. Áp dụng đơn giá để tính chi phí</w:t>
      </w:r>
      <w:r w:rsidR="00114A4E" w:rsidRPr="00E93C91">
        <w:rPr>
          <w:rFonts w:ascii="Times New Roman" w:hAnsi="Times New Roman" w:cs="Times New Roman"/>
          <w:sz w:val="28"/>
          <w:szCs w:val="28"/>
          <w:lang w:val="en-GB"/>
        </w:rPr>
        <w:t>:</w:t>
      </w:r>
    </w:p>
    <w:p w14:paraId="0CC3E2A5" w14:textId="77777777" w:rsidR="00C55B40" w:rsidRPr="00E93C91" w:rsidRDefault="00C55B40" w:rsidP="00936E41">
      <w:pPr>
        <w:spacing w:before="120" w:after="120" w:line="240" w:lineRule="auto"/>
        <w:ind w:firstLine="720"/>
        <w:jc w:val="both"/>
        <w:rPr>
          <w:rFonts w:ascii="Times New Roman" w:hAnsi="Times New Roman" w:cs="Times New Roman"/>
          <w:spacing w:val="-8"/>
          <w:sz w:val="28"/>
          <w:szCs w:val="28"/>
          <w:lang w:val="en-GB"/>
        </w:rPr>
      </w:pPr>
      <w:r w:rsidRPr="00E93C91">
        <w:rPr>
          <w:rFonts w:ascii="Times New Roman" w:hAnsi="Times New Roman" w:cs="Times New Roman"/>
          <w:spacing w:val="-8"/>
          <w:sz w:val="28"/>
          <w:szCs w:val="28"/>
          <w:lang w:val="en-GB"/>
        </w:rPr>
        <w:t>Chi phí trong đơn giá bằng (=) Khối lượng công việc nhân (x) Đơn giá sản phẩm</w:t>
      </w:r>
    </w:p>
    <w:p w14:paraId="474B8547" w14:textId="4DC6CA82" w:rsidR="00DF42CE" w:rsidRPr="00E93C91" w:rsidRDefault="003A343A" w:rsidP="00DF42CE">
      <w:pPr>
        <w:spacing w:before="120" w:after="120" w:line="24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2</w:t>
      </w:r>
      <w:r w:rsidR="00936E41" w:rsidRPr="00E93C91">
        <w:rPr>
          <w:rFonts w:ascii="Times New Roman" w:hAnsi="Times New Roman" w:cs="Times New Roman"/>
          <w:sz w:val="28"/>
          <w:szCs w:val="28"/>
          <w:lang w:val="en-GB"/>
        </w:rPr>
        <w:t xml:space="preserve">. </w:t>
      </w:r>
      <w:r w:rsidR="0083640F" w:rsidRPr="00E93C91">
        <w:rPr>
          <w:rFonts w:ascii="Times New Roman" w:hAnsi="Times New Roman" w:cs="Times New Roman"/>
          <w:sz w:val="28"/>
          <w:szCs w:val="28"/>
          <w:lang w:val="en-GB"/>
        </w:rPr>
        <w:t>Đ</w:t>
      </w:r>
      <w:r w:rsidR="00E64260" w:rsidRPr="00E93C91">
        <w:rPr>
          <w:rFonts w:ascii="Times New Roman" w:hAnsi="Times New Roman" w:cs="Times New Roman"/>
          <w:sz w:val="28"/>
          <w:szCs w:val="28"/>
          <w:lang w:val="en-GB"/>
        </w:rPr>
        <w:t xml:space="preserve">ơn giá cho </w:t>
      </w:r>
      <w:r w:rsidRPr="00E93C91">
        <w:rPr>
          <w:rFonts w:ascii="Times New Roman" w:hAnsi="Times New Roman" w:cs="Times New Roman"/>
          <w:sz w:val="28"/>
          <w:szCs w:val="28"/>
          <w:lang w:val="en-GB"/>
        </w:rPr>
        <w:t>hoạt động thu nhận, lưu trữ, bảo quản và cung cấp thông tin, dữ liệu tài nguyên và môi trường trên địa bàn tỉnh trà vinh</w:t>
      </w:r>
      <w:r w:rsidR="00E64260" w:rsidRPr="00E93C91">
        <w:rPr>
          <w:rFonts w:ascii="Times New Roman" w:hAnsi="Times New Roman" w:cs="Times New Roman"/>
          <w:sz w:val="28"/>
          <w:szCs w:val="28"/>
          <w:lang w:val="en-GB"/>
        </w:rPr>
        <w:t xml:space="preserve"> </w:t>
      </w:r>
      <w:r w:rsidR="00DF42CE" w:rsidRPr="00E93C91">
        <w:rPr>
          <w:rFonts w:ascii="Times New Roman" w:hAnsi="Times New Roman" w:cs="Times New Roman"/>
          <w:sz w:val="28"/>
          <w:szCs w:val="28"/>
          <w:lang w:val="en-GB"/>
        </w:rPr>
        <w:t xml:space="preserve">được thành lập trên cơ sở Quy trình và Định mức kinh tế - kỹ thuật xây dựng cơ sở dữ liệu tài nguyên và môi trường bàn hành kèm theo Thông tư số 26/2014/TT-BTNMT; </w:t>
      </w:r>
      <w:r w:rsidRPr="00E93C91">
        <w:rPr>
          <w:rFonts w:ascii="Times New Roman" w:hAnsi="Times New Roman" w:cs="Times New Roman"/>
          <w:sz w:val="28"/>
          <w:szCs w:val="28"/>
          <w:lang w:val="en-GB"/>
        </w:rPr>
        <w:t>Quy định kỹ thuật và Định mức kinh tế - kỹ thuật về công tác thu nhận, lưu trữ, bảo quản và cung cấp thông tin, dữ liệu tài nguyên và môi trường</w:t>
      </w:r>
      <w:r w:rsidR="00DF42CE" w:rsidRPr="00E93C91">
        <w:rPr>
          <w:rFonts w:ascii="Times New Roman" w:hAnsi="Times New Roman" w:cs="Times New Roman"/>
          <w:sz w:val="28"/>
          <w:szCs w:val="28"/>
          <w:lang w:val="en-GB"/>
        </w:rPr>
        <w:t xml:space="preserve"> ban hành kèm theo </w:t>
      </w:r>
      <w:r w:rsidRPr="00E93C91">
        <w:rPr>
          <w:rFonts w:ascii="Times New Roman" w:hAnsi="Times New Roman" w:cs="Times New Roman"/>
          <w:sz w:val="28"/>
          <w:szCs w:val="28"/>
          <w:lang w:val="en-GB"/>
        </w:rPr>
        <w:t>Thông tư số 03/2022/TT-BTNMT</w:t>
      </w:r>
      <w:r w:rsidR="00DF42CE" w:rsidRPr="00E93C91">
        <w:rPr>
          <w:rFonts w:ascii="Times New Roman" w:hAnsi="Times New Roman" w:cs="Times New Roman"/>
          <w:sz w:val="28"/>
          <w:szCs w:val="28"/>
          <w:lang w:val="en-GB"/>
        </w:rPr>
        <w:t xml:space="preserve">. </w:t>
      </w:r>
      <w:r w:rsidR="0083640F" w:rsidRPr="00E93C91">
        <w:rPr>
          <w:rFonts w:ascii="Times New Roman" w:hAnsi="Times New Roman" w:cs="Times New Roman"/>
          <w:sz w:val="28"/>
          <w:szCs w:val="28"/>
          <w:lang w:val="en-GB"/>
        </w:rPr>
        <w:t>Đ</w:t>
      </w:r>
      <w:r w:rsidR="00DF42CE" w:rsidRPr="00E93C91">
        <w:rPr>
          <w:rFonts w:ascii="Times New Roman" w:hAnsi="Times New Roman" w:cs="Times New Roman"/>
          <w:sz w:val="28"/>
          <w:szCs w:val="28"/>
          <w:lang w:val="en-GB"/>
        </w:rPr>
        <w:t>ơn giá chỉ được lập và phê duyệt lại khi quy trình và định mức kinh tế - kỹ thuật được thay đổi hoặc bị thay thế; các thay đổi khác về chế độ, chính sách của nhà nước trong từng thời kỳ, từng giai đoạn thì không phải lập và phê duyệt lại mà được điều chỉnh theo tỷ lệ tương ứng khi vận dụng đơn giá.</w:t>
      </w:r>
    </w:p>
    <w:p w14:paraId="65D4AD3A" w14:textId="18F836F7" w:rsidR="003B3506" w:rsidRPr="00E93C91" w:rsidRDefault="003A343A" w:rsidP="00B0575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00DB15F6" w:rsidRPr="00E93C91">
        <w:rPr>
          <w:rFonts w:ascii="Times New Roman" w:hAnsi="Times New Roman" w:cs="Times New Roman"/>
          <w:sz w:val="28"/>
          <w:szCs w:val="28"/>
        </w:rPr>
        <w:t xml:space="preserve">. </w:t>
      </w:r>
      <w:r w:rsidR="0083640F" w:rsidRPr="00E93C91">
        <w:rPr>
          <w:rFonts w:ascii="Times New Roman" w:hAnsi="Times New Roman" w:cs="Times New Roman"/>
          <w:sz w:val="28"/>
          <w:szCs w:val="28"/>
        </w:rPr>
        <w:t>Đ</w:t>
      </w:r>
      <w:r w:rsidR="00B018D1" w:rsidRPr="00E93C91">
        <w:rPr>
          <w:rFonts w:ascii="Times New Roman" w:hAnsi="Times New Roman" w:cs="Times New Roman"/>
          <w:sz w:val="28"/>
          <w:szCs w:val="28"/>
        </w:rPr>
        <w:t>ơn giá này được tính theo mức lương cơ sở là 1.490.000 đồng và chưa bao gồm: chi phí khảo sát, lập thiết kế kỹ thuật - dự</w:t>
      </w:r>
      <w:r w:rsidR="00F20044" w:rsidRPr="00E93C91">
        <w:rPr>
          <w:rFonts w:ascii="Times New Roman" w:hAnsi="Times New Roman" w:cs="Times New Roman"/>
          <w:sz w:val="28"/>
          <w:szCs w:val="28"/>
        </w:rPr>
        <w:t xml:space="preserve"> toán</w:t>
      </w:r>
      <w:r w:rsidR="0042759C" w:rsidRPr="00E93C91">
        <w:rPr>
          <w:rFonts w:ascii="Times New Roman" w:hAnsi="Times New Roman" w:cs="Times New Roman"/>
          <w:sz w:val="28"/>
          <w:szCs w:val="28"/>
        </w:rPr>
        <w:t>; chi phí</w:t>
      </w:r>
      <w:r w:rsidR="00DD6A8D" w:rsidRPr="00E93C91">
        <w:rPr>
          <w:rFonts w:ascii="Times New Roman" w:hAnsi="Times New Roman" w:cs="Times New Roman"/>
          <w:sz w:val="28"/>
          <w:szCs w:val="28"/>
        </w:rPr>
        <w:t xml:space="preserve"> lập đề cương và dự toán chi tiết</w:t>
      </w:r>
      <w:r w:rsidR="00B018D1" w:rsidRPr="00E93C91">
        <w:rPr>
          <w:rFonts w:ascii="Times New Roman" w:hAnsi="Times New Roman" w:cs="Times New Roman"/>
          <w:sz w:val="28"/>
          <w:szCs w:val="28"/>
        </w:rPr>
        <w:t>; thuế giá trị gia tăng. Các chi phí phát sinh ngoài đơn giá được thực hiện theo quy định pháp luật hiện hành</w:t>
      </w:r>
      <w:r w:rsidR="00B721E9" w:rsidRPr="00E93C91">
        <w:rPr>
          <w:rFonts w:ascii="Times New Roman" w:hAnsi="Times New Roman" w:cs="Times New Roman"/>
          <w:sz w:val="28"/>
          <w:szCs w:val="28"/>
        </w:rPr>
        <w:t>./.</w:t>
      </w:r>
    </w:p>
    <w:sectPr w:rsidR="003B3506" w:rsidRPr="00E93C91" w:rsidSect="00EE058D">
      <w:headerReference w:type="default" r:id="rId7"/>
      <w:pgSz w:w="11906" w:h="16838" w:code="9"/>
      <w:pgMar w:top="851" w:right="1134" w:bottom="1242"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2F540" w14:textId="77777777" w:rsidR="00082F67" w:rsidRDefault="00082F67" w:rsidP="00EB7EAC">
      <w:pPr>
        <w:spacing w:after="0" w:line="240" w:lineRule="auto"/>
      </w:pPr>
      <w:r>
        <w:separator/>
      </w:r>
    </w:p>
  </w:endnote>
  <w:endnote w:type="continuationSeparator" w:id="0">
    <w:p w14:paraId="6066A802" w14:textId="77777777" w:rsidR="00082F67" w:rsidRDefault="00082F67" w:rsidP="00EB7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59151" w14:textId="77777777" w:rsidR="00082F67" w:rsidRDefault="00082F67" w:rsidP="00EB7EAC">
      <w:pPr>
        <w:spacing w:after="0" w:line="240" w:lineRule="auto"/>
      </w:pPr>
      <w:r>
        <w:separator/>
      </w:r>
    </w:p>
  </w:footnote>
  <w:footnote w:type="continuationSeparator" w:id="0">
    <w:p w14:paraId="6613FC4A" w14:textId="77777777" w:rsidR="00082F67" w:rsidRDefault="00082F67" w:rsidP="00EB7E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0993048"/>
      <w:docPartObj>
        <w:docPartGallery w:val="Page Numbers (Top of Page)"/>
        <w:docPartUnique/>
      </w:docPartObj>
    </w:sdtPr>
    <w:sdtEndPr>
      <w:rPr>
        <w:rFonts w:ascii="Times New Roman" w:hAnsi="Times New Roman" w:cs="Times New Roman"/>
        <w:noProof/>
        <w:sz w:val="26"/>
        <w:szCs w:val="26"/>
      </w:rPr>
    </w:sdtEndPr>
    <w:sdtContent>
      <w:p w14:paraId="5FC4B0B3" w14:textId="77777777" w:rsidR="00EB7EAC" w:rsidRPr="001025EC" w:rsidRDefault="00EB7EAC">
        <w:pPr>
          <w:pStyle w:val="Header"/>
          <w:jc w:val="center"/>
          <w:rPr>
            <w:rFonts w:ascii="Times New Roman" w:hAnsi="Times New Roman" w:cs="Times New Roman"/>
            <w:sz w:val="26"/>
            <w:szCs w:val="26"/>
          </w:rPr>
        </w:pPr>
        <w:r w:rsidRPr="001025EC">
          <w:rPr>
            <w:rFonts w:ascii="Times New Roman" w:hAnsi="Times New Roman" w:cs="Times New Roman"/>
            <w:sz w:val="26"/>
            <w:szCs w:val="26"/>
          </w:rPr>
          <w:fldChar w:fldCharType="begin"/>
        </w:r>
        <w:r w:rsidRPr="001025EC">
          <w:rPr>
            <w:rFonts w:ascii="Times New Roman" w:hAnsi="Times New Roman" w:cs="Times New Roman"/>
            <w:sz w:val="26"/>
            <w:szCs w:val="26"/>
          </w:rPr>
          <w:instrText xml:space="preserve"> PAGE   \* MERGEFORMAT </w:instrText>
        </w:r>
        <w:r w:rsidRPr="001025EC">
          <w:rPr>
            <w:rFonts w:ascii="Times New Roman" w:hAnsi="Times New Roman" w:cs="Times New Roman"/>
            <w:sz w:val="26"/>
            <w:szCs w:val="26"/>
          </w:rPr>
          <w:fldChar w:fldCharType="separate"/>
        </w:r>
        <w:r w:rsidR="003515A1">
          <w:rPr>
            <w:rFonts w:ascii="Times New Roman" w:hAnsi="Times New Roman" w:cs="Times New Roman"/>
            <w:noProof/>
            <w:sz w:val="26"/>
            <w:szCs w:val="26"/>
          </w:rPr>
          <w:t>8</w:t>
        </w:r>
        <w:r w:rsidRPr="001025EC">
          <w:rPr>
            <w:rFonts w:ascii="Times New Roman" w:hAnsi="Times New Roman" w:cs="Times New Roman"/>
            <w:noProof/>
            <w:sz w:val="26"/>
            <w:szCs w:val="26"/>
          </w:rPr>
          <w:fldChar w:fldCharType="end"/>
        </w:r>
      </w:p>
    </w:sdtContent>
  </w:sdt>
  <w:p w14:paraId="17BBB6A5" w14:textId="77777777" w:rsidR="00EB7EAC" w:rsidRDefault="00EB7E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DD"/>
    <w:rsid w:val="000028BB"/>
    <w:rsid w:val="00004489"/>
    <w:rsid w:val="00021839"/>
    <w:rsid w:val="0007713B"/>
    <w:rsid w:val="00080926"/>
    <w:rsid w:val="000812D5"/>
    <w:rsid w:val="00082F42"/>
    <w:rsid w:val="00082F67"/>
    <w:rsid w:val="000900B0"/>
    <w:rsid w:val="000A1CF2"/>
    <w:rsid w:val="000C657F"/>
    <w:rsid w:val="000D38A0"/>
    <w:rsid w:val="000D3BEA"/>
    <w:rsid w:val="000D5A00"/>
    <w:rsid w:val="000F1DB3"/>
    <w:rsid w:val="001025EC"/>
    <w:rsid w:val="00114A4E"/>
    <w:rsid w:val="00122C18"/>
    <w:rsid w:val="00123EBB"/>
    <w:rsid w:val="00126958"/>
    <w:rsid w:val="001441F1"/>
    <w:rsid w:val="001529B8"/>
    <w:rsid w:val="00154EC9"/>
    <w:rsid w:val="00156852"/>
    <w:rsid w:val="001609B8"/>
    <w:rsid w:val="00190CF6"/>
    <w:rsid w:val="001A201A"/>
    <w:rsid w:val="001A7C8B"/>
    <w:rsid w:val="001B4BFE"/>
    <w:rsid w:val="001C214F"/>
    <w:rsid w:val="001C665A"/>
    <w:rsid w:val="001D0483"/>
    <w:rsid w:val="001D6535"/>
    <w:rsid w:val="001E2171"/>
    <w:rsid w:val="001E2A83"/>
    <w:rsid w:val="001F7686"/>
    <w:rsid w:val="00201300"/>
    <w:rsid w:val="00207D9A"/>
    <w:rsid w:val="00212CAA"/>
    <w:rsid w:val="00220B1F"/>
    <w:rsid w:val="0023014F"/>
    <w:rsid w:val="00242233"/>
    <w:rsid w:val="00250503"/>
    <w:rsid w:val="00271B70"/>
    <w:rsid w:val="00290B94"/>
    <w:rsid w:val="002A0520"/>
    <w:rsid w:val="002C0B00"/>
    <w:rsid w:val="002C577F"/>
    <w:rsid w:val="002D6E08"/>
    <w:rsid w:val="002E6992"/>
    <w:rsid w:val="002F7872"/>
    <w:rsid w:val="00314733"/>
    <w:rsid w:val="00326AA8"/>
    <w:rsid w:val="003508F7"/>
    <w:rsid w:val="003515A1"/>
    <w:rsid w:val="00391F61"/>
    <w:rsid w:val="003A343A"/>
    <w:rsid w:val="003A452D"/>
    <w:rsid w:val="003B326A"/>
    <w:rsid w:val="003B3506"/>
    <w:rsid w:val="003D4ABC"/>
    <w:rsid w:val="003E6146"/>
    <w:rsid w:val="00422B0B"/>
    <w:rsid w:val="00426B0F"/>
    <w:rsid w:val="0042759C"/>
    <w:rsid w:val="004322F9"/>
    <w:rsid w:val="00433044"/>
    <w:rsid w:val="004746C0"/>
    <w:rsid w:val="00492725"/>
    <w:rsid w:val="004A026F"/>
    <w:rsid w:val="004A62EA"/>
    <w:rsid w:val="004B40CE"/>
    <w:rsid w:val="004B75B5"/>
    <w:rsid w:val="004D56DD"/>
    <w:rsid w:val="005448D7"/>
    <w:rsid w:val="00560D66"/>
    <w:rsid w:val="0058246C"/>
    <w:rsid w:val="00591A6A"/>
    <w:rsid w:val="005A5D19"/>
    <w:rsid w:val="005B3218"/>
    <w:rsid w:val="005D6511"/>
    <w:rsid w:val="005E49DC"/>
    <w:rsid w:val="005E5393"/>
    <w:rsid w:val="005F7100"/>
    <w:rsid w:val="00660D44"/>
    <w:rsid w:val="0066110A"/>
    <w:rsid w:val="00664CE0"/>
    <w:rsid w:val="00685F16"/>
    <w:rsid w:val="00693A1B"/>
    <w:rsid w:val="006A0815"/>
    <w:rsid w:val="006A67DE"/>
    <w:rsid w:val="006B56B7"/>
    <w:rsid w:val="006C115D"/>
    <w:rsid w:val="006D747B"/>
    <w:rsid w:val="006E4B23"/>
    <w:rsid w:val="006E7E84"/>
    <w:rsid w:val="006F5254"/>
    <w:rsid w:val="00705B99"/>
    <w:rsid w:val="0072028D"/>
    <w:rsid w:val="007270C5"/>
    <w:rsid w:val="00731140"/>
    <w:rsid w:val="007425EC"/>
    <w:rsid w:val="007504BA"/>
    <w:rsid w:val="00764F8E"/>
    <w:rsid w:val="00766FF9"/>
    <w:rsid w:val="00777682"/>
    <w:rsid w:val="00784518"/>
    <w:rsid w:val="00785EC0"/>
    <w:rsid w:val="007958D4"/>
    <w:rsid w:val="00797A26"/>
    <w:rsid w:val="007A34A4"/>
    <w:rsid w:val="007A60B6"/>
    <w:rsid w:val="007D1568"/>
    <w:rsid w:val="007D2A92"/>
    <w:rsid w:val="007E26B2"/>
    <w:rsid w:val="007E732E"/>
    <w:rsid w:val="007F7CDB"/>
    <w:rsid w:val="00810E78"/>
    <w:rsid w:val="0083640F"/>
    <w:rsid w:val="00845F4C"/>
    <w:rsid w:val="008537E0"/>
    <w:rsid w:val="00875B5D"/>
    <w:rsid w:val="008772DA"/>
    <w:rsid w:val="0089430A"/>
    <w:rsid w:val="008A6BB2"/>
    <w:rsid w:val="008B0DBE"/>
    <w:rsid w:val="008C1398"/>
    <w:rsid w:val="008C356A"/>
    <w:rsid w:val="008E2126"/>
    <w:rsid w:val="009304C3"/>
    <w:rsid w:val="00936E41"/>
    <w:rsid w:val="00944601"/>
    <w:rsid w:val="00950DCB"/>
    <w:rsid w:val="009548F9"/>
    <w:rsid w:val="0096076C"/>
    <w:rsid w:val="00966565"/>
    <w:rsid w:val="0097002D"/>
    <w:rsid w:val="009841B1"/>
    <w:rsid w:val="00985D9D"/>
    <w:rsid w:val="00986FBE"/>
    <w:rsid w:val="0099674D"/>
    <w:rsid w:val="00996EBE"/>
    <w:rsid w:val="009B32EF"/>
    <w:rsid w:val="009B41F2"/>
    <w:rsid w:val="009B69F2"/>
    <w:rsid w:val="009B6B9B"/>
    <w:rsid w:val="009C20C5"/>
    <w:rsid w:val="009D2517"/>
    <w:rsid w:val="009D32D9"/>
    <w:rsid w:val="009E07FF"/>
    <w:rsid w:val="009F12B5"/>
    <w:rsid w:val="00A0463D"/>
    <w:rsid w:val="00A0707C"/>
    <w:rsid w:val="00A10DC2"/>
    <w:rsid w:val="00A210F4"/>
    <w:rsid w:val="00A34738"/>
    <w:rsid w:val="00A77FF5"/>
    <w:rsid w:val="00AA5447"/>
    <w:rsid w:val="00AB7C90"/>
    <w:rsid w:val="00B015D2"/>
    <w:rsid w:val="00B018D1"/>
    <w:rsid w:val="00B0575B"/>
    <w:rsid w:val="00B13E89"/>
    <w:rsid w:val="00B15AEF"/>
    <w:rsid w:val="00B24741"/>
    <w:rsid w:val="00B2636A"/>
    <w:rsid w:val="00B37F2F"/>
    <w:rsid w:val="00B45C5C"/>
    <w:rsid w:val="00B721E9"/>
    <w:rsid w:val="00B822DF"/>
    <w:rsid w:val="00B8332F"/>
    <w:rsid w:val="00B96B30"/>
    <w:rsid w:val="00BA708C"/>
    <w:rsid w:val="00C03C95"/>
    <w:rsid w:val="00C14255"/>
    <w:rsid w:val="00C25E93"/>
    <w:rsid w:val="00C36066"/>
    <w:rsid w:val="00C55B40"/>
    <w:rsid w:val="00C56A33"/>
    <w:rsid w:val="00C83638"/>
    <w:rsid w:val="00C83E89"/>
    <w:rsid w:val="00C914B9"/>
    <w:rsid w:val="00CD0C72"/>
    <w:rsid w:val="00CD7635"/>
    <w:rsid w:val="00CE6188"/>
    <w:rsid w:val="00CF6996"/>
    <w:rsid w:val="00D0754C"/>
    <w:rsid w:val="00D31CFF"/>
    <w:rsid w:val="00D34581"/>
    <w:rsid w:val="00D4138A"/>
    <w:rsid w:val="00D45C3C"/>
    <w:rsid w:val="00D5282B"/>
    <w:rsid w:val="00D66D75"/>
    <w:rsid w:val="00DA1E83"/>
    <w:rsid w:val="00DA5D00"/>
    <w:rsid w:val="00DA7E4D"/>
    <w:rsid w:val="00DB15F6"/>
    <w:rsid w:val="00DC0855"/>
    <w:rsid w:val="00DD0254"/>
    <w:rsid w:val="00DD0F38"/>
    <w:rsid w:val="00DD3705"/>
    <w:rsid w:val="00DD49EE"/>
    <w:rsid w:val="00DD4BD2"/>
    <w:rsid w:val="00DD6A8D"/>
    <w:rsid w:val="00DD7196"/>
    <w:rsid w:val="00DF42CE"/>
    <w:rsid w:val="00E232A4"/>
    <w:rsid w:val="00E23E11"/>
    <w:rsid w:val="00E2624F"/>
    <w:rsid w:val="00E421F1"/>
    <w:rsid w:val="00E55A8E"/>
    <w:rsid w:val="00E6237F"/>
    <w:rsid w:val="00E64260"/>
    <w:rsid w:val="00E93C91"/>
    <w:rsid w:val="00EA1F3F"/>
    <w:rsid w:val="00EB7EAC"/>
    <w:rsid w:val="00EC2C4E"/>
    <w:rsid w:val="00EE058D"/>
    <w:rsid w:val="00F16B94"/>
    <w:rsid w:val="00F20044"/>
    <w:rsid w:val="00F30E85"/>
    <w:rsid w:val="00F52CA8"/>
    <w:rsid w:val="00F94DC0"/>
    <w:rsid w:val="00FA092D"/>
    <w:rsid w:val="00FA302A"/>
    <w:rsid w:val="00FA335A"/>
    <w:rsid w:val="00FA7DD9"/>
    <w:rsid w:val="00FB6151"/>
    <w:rsid w:val="00FD5143"/>
    <w:rsid w:val="00FE15EE"/>
    <w:rsid w:val="00FE73B2"/>
    <w:rsid w:val="00FF1B25"/>
    <w:rsid w:val="00FF2866"/>
    <w:rsid w:val="00FF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E18E0"/>
  <w15:chartTrackingRefBased/>
  <w15:docId w15:val="{D0CF83AF-AD68-4077-BCC4-032DD766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C95"/>
    <w:pPr>
      <w:ind w:left="720"/>
      <w:contextualSpacing/>
    </w:pPr>
  </w:style>
  <w:style w:type="table" w:styleId="TableGrid">
    <w:name w:val="Table Grid"/>
    <w:basedOn w:val="TableNormal"/>
    <w:uiPriority w:val="59"/>
    <w:rsid w:val="001C66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B7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EAC"/>
  </w:style>
  <w:style w:type="paragraph" w:styleId="Footer">
    <w:name w:val="footer"/>
    <w:basedOn w:val="Normal"/>
    <w:link w:val="FooterChar"/>
    <w:uiPriority w:val="99"/>
    <w:unhideWhenUsed/>
    <w:rsid w:val="00EB7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EAC"/>
  </w:style>
  <w:style w:type="character" w:styleId="CommentReference">
    <w:name w:val="annotation reference"/>
    <w:basedOn w:val="DefaultParagraphFont"/>
    <w:uiPriority w:val="99"/>
    <w:semiHidden/>
    <w:unhideWhenUsed/>
    <w:rsid w:val="00B13E89"/>
    <w:rPr>
      <w:sz w:val="16"/>
      <w:szCs w:val="16"/>
    </w:rPr>
  </w:style>
  <w:style w:type="paragraph" w:styleId="CommentText">
    <w:name w:val="annotation text"/>
    <w:basedOn w:val="Normal"/>
    <w:link w:val="CommentTextChar"/>
    <w:uiPriority w:val="99"/>
    <w:semiHidden/>
    <w:unhideWhenUsed/>
    <w:rsid w:val="00B13E89"/>
    <w:pPr>
      <w:spacing w:line="240" w:lineRule="auto"/>
    </w:pPr>
    <w:rPr>
      <w:sz w:val="20"/>
      <w:szCs w:val="20"/>
    </w:rPr>
  </w:style>
  <w:style w:type="character" w:customStyle="1" w:styleId="CommentTextChar">
    <w:name w:val="Comment Text Char"/>
    <w:basedOn w:val="DefaultParagraphFont"/>
    <w:link w:val="CommentText"/>
    <w:uiPriority w:val="99"/>
    <w:semiHidden/>
    <w:rsid w:val="00B13E89"/>
    <w:rPr>
      <w:sz w:val="20"/>
      <w:szCs w:val="20"/>
    </w:rPr>
  </w:style>
  <w:style w:type="paragraph" w:styleId="CommentSubject">
    <w:name w:val="annotation subject"/>
    <w:basedOn w:val="CommentText"/>
    <w:next w:val="CommentText"/>
    <w:link w:val="CommentSubjectChar"/>
    <w:uiPriority w:val="99"/>
    <w:semiHidden/>
    <w:unhideWhenUsed/>
    <w:rsid w:val="00B13E89"/>
    <w:rPr>
      <w:b/>
      <w:bCs/>
    </w:rPr>
  </w:style>
  <w:style w:type="character" w:customStyle="1" w:styleId="CommentSubjectChar">
    <w:name w:val="Comment Subject Char"/>
    <w:basedOn w:val="CommentTextChar"/>
    <w:link w:val="CommentSubject"/>
    <w:uiPriority w:val="99"/>
    <w:semiHidden/>
    <w:rsid w:val="00B13E89"/>
    <w:rPr>
      <w:b/>
      <w:bCs/>
      <w:sz w:val="20"/>
      <w:szCs w:val="20"/>
    </w:rPr>
  </w:style>
  <w:style w:type="paragraph" w:styleId="BalloonText">
    <w:name w:val="Balloon Text"/>
    <w:basedOn w:val="Normal"/>
    <w:link w:val="BalloonTextChar"/>
    <w:uiPriority w:val="99"/>
    <w:semiHidden/>
    <w:unhideWhenUsed/>
    <w:rsid w:val="00B13E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E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DC555-4B61-452D-A120-5F40A03DB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8</Pages>
  <Words>2700</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LONG</dc:creator>
  <cp:keywords/>
  <dc:description/>
  <cp:lastModifiedBy>LongPC</cp:lastModifiedBy>
  <cp:revision>206</cp:revision>
  <dcterms:created xsi:type="dcterms:W3CDTF">2022-04-13T02:19:00Z</dcterms:created>
  <dcterms:modified xsi:type="dcterms:W3CDTF">2022-06-10T06:47:00Z</dcterms:modified>
</cp:coreProperties>
</file>