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1C9" w:rsidRDefault="006741C9" w:rsidP="006741C9">
      <w:pPr>
        <w:spacing w:after="0" w:line="330" w:lineRule="atLeast"/>
        <w:jc w:val="center"/>
        <w:rPr>
          <w:rFonts w:ascii="Times New Roman" w:eastAsia="Times New Roman" w:hAnsi="Times New Roman" w:cs="Times New Roman"/>
          <w:b/>
          <w:bCs/>
          <w:color w:val="222222"/>
          <w:sz w:val="28"/>
          <w:szCs w:val="28"/>
        </w:rPr>
      </w:pPr>
      <w:r w:rsidRPr="006741C9">
        <w:rPr>
          <w:rFonts w:ascii="Times New Roman" w:eastAsia="Times New Roman" w:hAnsi="Times New Roman" w:cs="Times New Roman"/>
          <w:b/>
          <w:bCs/>
          <w:color w:val="222222"/>
          <w:sz w:val="28"/>
          <w:szCs w:val="28"/>
        </w:rPr>
        <w:t xml:space="preserve">CÁC ĐIỂM MỚI VỀ XỬ PHẠT VI PHẠM HÀNH CHÍNH </w:t>
      </w:r>
    </w:p>
    <w:p w:rsidR="006741C9" w:rsidRPr="006741C9" w:rsidRDefault="006741C9" w:rsidP="006741C9">
      <w:pPr>
        <w:spacing w:after="0" w:line="330" w:lineRule="atLeast"/>
        <w:jc w:val="center"/>
        <w:rPr>
          <w:rFonts w:ascii="Times New Roman" w:eastAsia="Times New Roman" w:hAnsi="Times New Roman" w:cs="Times New Roman"/>
          <w:b/>
          <w:bCs/>
          <w:color w:val="222222"/>
          <w:sz w:val="28"/>
          <w:szCs w:val="28"/>
        </w:rPr>
      </w:pPr>
      <w:r w:rsidRPr="006741C9">
        <w:rPr>
          <w:rFonts w:ascii="Times New Roman" w:eastAsia="Times New Roman" w:hAnsi="Times New Roman" w:cs="Times New Roman"/>
          <w:b/>
          <w:bCs/>
          <w:color w:val="222222"/>
          <w:sz w:val="28"/>
          <w:szCs w:val="28"/>
        </w:rPr>
        <w:t>TRONG LĨNH VỰC ĐẤT ĐAI</w:t>
      </w:r>
    </w:p>
    <w:p w:rsidR="006741C9" w:rsidRPr="006741C9" w:rsidRDefault="006741C9" w:rsidP="006306C2">
      <w:pPr>
        <w:spacing w:after="0" w:line="330" w:lineRule="atLeast"/>
        <w:rPr>
          <w:rFonts w:ascii="Times New Roman" w:eastAsia="Times New Roman" w:hAnsi="Times New Roman" w:cs="Times New Roman"/>
          <w:b/>
          <w:bCs/>
          <w:color w:val="222222"/>
          <w:sz w:val="24"/>
          <w:szCs w:val="24"/>
        </w:rPr>
      </w:pPr>
    </w:p>
    <w:p w:rsidR="006741C9" w:rsidRPr="0089081C" w:rsidRDefault="006306C2" w:rsidP="006741C9">
      <w:pPr>
        <w:spacing w:after="0" w:line="330" w:lineRule="atLeast"/>
        <w:ind w:firstLine="720"/>
        <w:rPr>
          <w:rFonts w:ascii="Times New Roman" w:eastAsia="Times New Roman" w:hAnsi="Times New Roman" w:cs="Times New Roman"/>
          <w:b/>
          <w:bCs/>
          <w:color w:val="222222"/>
          <w:sz w:val="28"/>
          <w:szCs w:val="28"/>
        </w:rPr>
      </w:pPr>
      <w:r w:rsidRPr="0089081C">
        <w:rPr>
          <w:rFonts w:ascii="Times New Roman" w:eastAsia="Times New Roman" w:hAnsi="Times New Roman" w:cs="Times New Roman"/>
          <w:b/>
          <w:bCs/>
          <w:color w:val="222222"/>
          <w:sz w:val="28"/>
          <w:szCs w:val="28"/>
        </w:rPr>
        <w:t>Chính phủ ban hành Nghị định </w:t>
      </w:r>
      <w:hyperlink r:id="rId7" w:history="1">
        <w:r w:rsidRPr="0089081C">
          <w:rPr>
            <w:rFonts w:ascii="Times New Roman" w:eastAsia="Times New Roman" w:hAnsi="Times New Roman" w:cs="Times New Roman"/>
            <w:b/>
            <w:bCs/>
            <w:sz w:val="28"/>
            <w:szCs w:val="28"/>
          </w:rPr>
          <w:t>04/2022/NĐ-CP</w:t>
        </w:r>
      </w:hyperlink>
      <w:r w:rsidRPr="0089081C">
        <w:rPr>
          <w:rFonts w:ascii="Times New Roman" w:eastAsia="Times New Roman" w:hAnsi="Times New Roman" w:cs="Times New Roman"/>
          <w:b/>
          <w:bCs/>
          <w:color w:val="222222"/>
          <w:sz w:val="28"/>
          <w:szCs w:val="28"/>
        </w:rPr>
        <w:t xml:space="preserve"> ngày 06/01/2022 sửa đổi, bổ sung một số điều của </w:t>
      </w:r>
      <w:r w:rsidR="006741C9" w:rsidRPr="0089081C">
        <w:rPr>
          <w:rFonts w:ascii="Times New Roman" w:eastAsia="Times New Roman" w:hAnsi="Times New Roman" w:cs="Times New Roman"/>
          <w:b/>
          <w:bCs/>
          <w:color w:val="222222"/>
          <w:sz w:val="28"/>
          <w:szCs w:val="28"/>
        </w:rPr>
        <w:t xml:space="preserve">các nghị định về xử phạt </w:t>
      </w:r>
      <w:proofErr w:type="gramStart"/>
      <w:r w:rsidRPr="0089081C">
        <w:rPr>
          <w:rFonts w:ascii="Times New Roman" w:eastAsia="Times New Roman" w:hAnsi="Times New Roman" w:cs="Times New Roman"/>
          <w:b/>
          <w:bCs/>
          <w:color w:val="222222"/>
          <w:sz w:val="28"/>
          <w:szCs w:val="28"/>
        </w:rPr>
        <w:t>vi</w:t>
      </w:r>
      <w:proofErr w:type="gramEnd"/>
      <w:r w:rsidRPr="0089081C">
        <w:rPr>
          <w:rFonts w:ascii="Times New Roman" w:eastAsia="Times New Roman" w:hAnsi="Times New Roman" w:cs="Times New Roman"/>
          <w:b/>
          <w:bCs/>
          <w:color w:val="222222"/>
          <w:sz w:val="28"/>
          <w:szCs w:val="28"/>
        </w:rPr>
        <w:t xml:space="preserve"> phạm hành chính lĩnh vực đất đai</w:t>
      </w:r>
      <w:r w:rsidR="006741C9" w:rsidRPr="0089081C">
        <w:rPr>
          <w:rFonts w:ascii="Times New Roman" w:eastAsia="Times New Roman" w:hAnsi="Times New Roman" w:cs="Times New Roman"/>
          <w:b/>
          <w:bCs/>
          <w:color w:val="222222"/>
          <w:sz w:val="28"/>
          <w:szCs w:val="28"/>
        </w:rPr>
        <w:t>; tài nguyên nước và khoáng sản; khí tượng thủy văn; đo đạc và bản đồ</w:t>
      </w:r>
      <w:r w:rsidRPr="0089081C">
        <w:rPr>
          <w:rFonts w:ascii="Times New Roman" w:eastAsia="Times New Roman" w:hAnsi="Times New Roman" w:cs="Times New Roman"/>
          <w:b/>
          <w:bCs/>
          <w:color w:val="222222"/>
          <w:sz w:val="28"/>
          <w:szCs w:val="28"/>
        </w:rPr>
        <w:t xml:space="preserve">. </w:t>
      </w:r>
    </w:p>
    <w:p w:rsidR="006306C2" w:rsidRPr="0089081C" w:rsidRDefault="006306C2" w:rsidP="006741C9">
      <w:pPr>
        <w:spacing w:after="0" w:line="330" w:lineRule="atLeast"/>
        <w:ind w:firstLine="720"/>
        <w:rPr>
          <w:rFonts w:ascii="Times New Roman" w:eastAsia="Times New Roman" w:hAnsi="Times New Roman" w:cs="Times New Roman"/>
          <w:b/>
          <w:bCs/>
          <w:color w:val="222222"/>
          <w:sz w:val="28"/>
          <w:szCs w:val="28"/>
        </w:rPr>
      </w:pPr>
      <w:r w:rsidRPr="0089081C">
        <w:rPr>
          <w:rFonts w:ascii="Times New Roman" w:eastAsia="Times New Roman" w:hAnsi="Times New Roman" w:cs="Times New Roman"/>
          <w:b/>
          <w:bCs/>
          <w:color w:val="222222"/>
          <w:sz w:val="28"/>
          <w:szCs w:val="28"/>
        </w:rPr>
        <w:t>Dưới đây là tổng hợp 05 điểm mới đáng chú ý nhất của Nghị định này</w:t>
      </w:r>
      <w:r w:rsidR="006741C9" w:rsidRPr="0089081C">
        <w:rPr>
          <w:rFonts w:ascii="Times New Roman" w:eastAsia="Times New Roman" w:hAnsi="Times New Roman" w:cs="Times New Roman"/>
          <w:b/>
          <w:bCs/>
          <w:color w:val="222222"/>
          <w:sz w:val="28"/>
          <w:szCs w:val="28"/>
        </w:rPr>
        <w:t xml:space="preserve"> so với Nghị định 91/2019/NĐ-CP về xử phạt vi phạm hành chính lĩnh vực đất </w:t>
      </w:r>
      <w:proofErr w:type="gramStart"/>
      <w:r w:rsidR="006741C9" w:rsidRPr="0089081C">
        <w:rPr>
          <w:rFonts w:ascii="Times New Roman" w:eastAsia="Times New Roman" w:hAnsi="Times New Roman" w:cs="Times New Roman"/>
          <w:b/>
          <w:bCs/>
          <w:color w:val="222222"/>
          <w:sz w:val="28"/>
          <w:szCs w:val="28"/>
        </w:rPr>
        <w:t xml:space="preserve">đai </w:t>
      </w:r>
      <w:r w:rsidRPr="0089081C">
        <w:rPr>
          <w:rFonts w:ascii="Times New Roman" w:eastAsia="Times New Roman" w:hAnsi="Times New Roman" w:cs="Times New Roman"/>
          <w:b/>
          <w:bCs/>
          <w:color w:val="222222"/>
          <w:sz w:val="28"/>
          <w:szCs w:val="28"/>
        </w:rPr>
        <w:t>.</w:t>
      </w:r>
      <w:proofErr w:type="gramEnd"/>
    </w:p>
    <w:p w:rsidR="006741C9" w:rsidRPr="006741C9" w:rsidRDefault="006741C9" w:rsidP="006741C9">
      <w:pPr>
        <w:spacing w:after="0" w:line="330" w:lineRule="atLeast"/>
        <w:ind w:firstLine="720"/>
        <w:rPr>
          <w:rFonts w:ascii="Times New Roman" w:eastAsia="Times New Roman" w:hAnsi="Times New Roman" w:cs="Times New Roman"/>
          <w:b/>
          <w:bCs/>
          <w:color w:val="222222"/>
          <w:sz w:val="24"/>
          <w:szCs w:val="24"/>
        </w:rPr>
      </w:pPr>
    </w:p>
    <w:tbl>
      <w:tblPr>
        <w:tblW w:w="9540" w:type="dxa"/>
        <w:shd w:val="clear" w:color="auto" w:fill="FFFFFF"/>
        <w:tblCellMar>
          <w:left w:w="0" w:type="dxa"/>
          <w:right w:w="0" w:type="dxa"/>
        </w:tblCellMar>
        <w:tblLook w:val="04A0" w:firstRow="1" w:lastRow="0" w:firstColumn="1" w:lastColumn="0" w:noHBand="0" w:noVBand="1"/>
      </w:tblPr>
      <w:tblGrid>
        <w:gridCol w:w="4950"/>
        <w:gridCol w:w="4590"/>
      </w:tblGrid>
      <w:tr w:rsidR="006306C2" w:rsidRPr="006306C2" w:rsidTr="006306C2">
        <w:tc>
          <w:tcPr>
            <w:tcW w:w="4950"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rsidR="006306C2" w:rsidRPr="006306C2" w:rsidRDefault="006306C2" w:rsidP="006306C2">
            <w:pPr>
              <w:spacing w:after="120" w:line="383" w:lineRule="atLeast"/>
              <w:jc w:val="center"/>
              <w:rPr>
                <w:rFonts w:ascii="Arial" w:eastAsia="Times New Roman" w:hAnsi="Arial" w:cs="Arial"/>
                <w:color w:val="222222"/>
                <w:sz w:val="26"/>
                <w:szCs w:val="26"/>
              </w:rPr>
            </w:pPr>
            <w:r w:rsidRPr="006306C2">
              <w:rPr>
                <w:rFonts w:ascii="Arial" w:eastAsia="Times New Roman" w:hAnsi="Arial" w:cs="Arial"/>
                <w:b/>
                <w:bCs/>
                <w:color w:val="222222"/>
                <w:sz w:val="26"/>
                <w:szCs w:val="26"/>
              </w:rPr>
              <w:t>Ngh</w:t>
            </w:r>
            <w:r w:rsidRPr="006306C2">
              <w:rPr>
                <w:rFonts w:ascii="Arial" w:eastAsia="Times New Roman" w:hAnsi="Arial" w:cs="Arial"/>
                <w:b/>
                <w:bCs/>
                <w:color w:val="000000"/>
                <w:sz w:val="26"/>
                <w:szCs w:val="26"/>
              </w:rPr>
              <w:t>ị định 04/2022/NĐ-CP</w:t>
            </w:r>
          </w:p>
        </w:tc>
        <w:tc>
          <w:tcPr>
            <w:tcW w:w="4590"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rsidR="006306C2" w:rsidRPr="006306C2" w:rsidRDefault="00567C8A" w:rsidP="006306C2">
            <w:pPr>
              <w:spacing w:after="120" w:line="383" w:lineRule="atLeast"/>
              <w:jc w:val="center"/>
              <w:rPr>
                <w:rFonts w:ascii="Arial" w:eastAsia="Times New Roman" w:hAnsi="Arial" w:cs="Arial"/>
                <w:color w:val="222222"/>
                <w:sz w:val="26"/>
                <w:szCs w:val="26"/>
              </w:rPr>
            </w:pPr>
            <w:hyperlink r:id="rId8" w:history="1">
              <w:r w:rsidR="006306C2" w:rsidRPr="006306C2">
                <w:rPr>
                  <w:rFonts w:ascii="Arial" w:eastAsia="Times New Roman" w:hAnsi="Arial" w:cs="Arial"/>
                  <w:b/>
                  <w:bCs/>
                  <w:color w:val="A67942"/>
                  <w:sz w:val="26"/>
                  <w:szCs w:val="26"/>
                  <w:u w:val="single"/>
                </w:rPr>
                <w:t>Nghị định số 91/2019/NĐ-CP</w:t>
              </w:r>
            </w:hyperlink>
          </w:p>
        </w:tc>
      </w:tr>
      <w:tr w:rsidR="006306C2" w:rsidRPr="006306C2" w:rsidTr="006306C2">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color w:val="222222"/>
                <w:sz w:val="26"/>
                <w:szCs w:val="26"/>
              </w:rPr>
              <w:t>1.</w:t>
            </w:r>
            <w:r w:rsidRPr="006306C2">
              <w:rPr>
                <w:rFonts w:ascii="Arial" w:eastAsia="Times New Roman" w:hAnsi="Arial" w:cs="Arial"/>
                <w:color w:val="222222"/>
                <w:sz w:val="26"/>
                <w:szCs w:val="26"/>
              </w:rPr>
              <w:t> Sửa đổi trường hợp chiếm đất (khoản 1 Điều 1)</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Bổ sung thêm điều kiện về trường hợp được xem là chiếm đất tại điểm c khoản 2 Điều 3:</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Sử dụng đất được Nhà nước giao đất, cho thuê đất đã hết thời hạn sử dụng mà không được Nhà nước gia hạn sử dụng đất </w:t>
            </w:r>
            <w:r w:rsidRPr="006306C2">
              <w:rPr>
                <w:rFonts w:ascii="Arial" w:eastAsia="Times New Roman" w:hAnsi="Arial" w:cs="Arial"/>
                <w:b/>
                <w:bCs/>
                <w:i/>
                <w:iCs/>
                <w:color w:val="222222"/>
                <w:sz w:val="26"/>
                <w:szCs w:val="26"/>
              </w:rPr>
              <w:t>và đã có quyết định thu hồi đất được công bố, tổ chức thực hiện</w:t>
            </w:r>
            <w:r w:rsidRPr="006306C2">
              <w:rPr>
                <w:rFonts w:ascii="Arial" w:eastAsia="Times New Roman" w:hAnsi="Arial" w:cs="Arial"/>
                <w:i/>
                <w:iCs/>
                <w:color w:val="222222"/>
                <w:sz w:val="26"/>
                <w:szCs w:val="26"/>
              </w:rPr>
              <w:t> </w:t>
            </w:r>
            <w:r w:rsidRPr="006306C2">
              <w:rPr>
                <w:rFonts w:ascii="Arial" w:eastAsia="Times New Roman" w:hAnsi="Arial" w:cs="Arial"/>
                <w:b/>
                <w:bCs/>
                <w:i/>
                <w:iCs/>
                <w:color w:val="222222"/>
                <w:sz w:val="26"/>
                <w:szCs w:val="26"/>
              </w:rPr>
              <w:t>nhưng người sử dụng đất không chấp hành </w:t>
            </w:r>
            <w:r w:rsidRPr="006306C2">
              <w:rPr>
                <w:rFonts w:ascii="Arial" w:eastAsia="Times New Roman" w:hAnsi="Arial" w:cs="Arial"/>
                <w:i/>
                <w:iCs/>
                <w:color w:val="222222"/>
                <w:sz w:val="26"/>
                <w:szCs w:val="26"/>
              </w:rPr>
              <w:t>(trừ trường hợp hộ gia đình, cá nhân trực tiếp sản xuất nông nghiệp sử dụng đất nông nghiệp)</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Điểm c khoản 2 Điều 3:</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Sử dụng đất được Nhà nước giao, cho thuê đất đã hết thời hạn sử dụng mà không được Nhà nước gia hạn sử dụng (trừ trường hợp hộ gia đình, cá nhân trực tiếp sản xuất nông nghiệp sử dụng đất nông nghiệp)</w:t>
            </w:r>
          </w:p>
        </w:tc>
      </w:tr>
      <w:tr w:rsidR="006306C2" w:rsidRPr="006306C2" w:rsidTr="006306C2">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color w:val="222222"/>
                <w:sz w:val="26"/>
                <w:szCs w:val="26"/>
              </w:rPr>
              <w:t>2.</w:t>
            </w:r>
            <w:r w:rsidRPr="006306C2">
              <w:rPr>
                <w:rFonts w:ascii="Arial" w:eastAsia="Times New Roman" w:hAnsi="Arial" w:cs="Arial"/>
                <w:color w:val="222222"/>
                <w:sz w:val="26"/>
                <w:szCs w:val="26"/>
              </w:rPr>
              <w:t> Sửa đổi, bổ sung căn cứ tính số lợi bất hợp pháp (khoản 2 Điều 1)</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2.1 Khi sử dụng đất sang mục đích khác mà không được cơ quan nhà nước có thẩm quyền cho phép</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Giá đất của loại đất trước và sau khi vi phạm được xác định </w:t>
            </w:r>
            <w:r w:rsidRPr="006306C2">
              <w:rPr>
                <w:rFonts w:ascii="Arial" w:eastAsia="Times New Roman" w:hAnsi="Arial" w:cs="Arial"/>
                <w:b/>
                <w:bCs/>
                <w:i/>
                <w:iCs/>
                <w:color w:val="222222"/>
                <w:sz w:val="26"/>
                <w:szCs w:val="26"/>
              </w:rPr>
              <w:t>bằng giá đất</w:t>
            </w:r>
            <w:r w:rsidRPr="006306C2">
              <w:rPr>
                <w:rFonts w:ascii="Arial" w:eastAsia="Times New Roman" w:hAnsi="Arial" w:cs="Arial"/>
                <w:i/>
                <w:iCs/>
                <w:color w:val="222222"/>
                <w:sz w:val="26"/>
                <w:szCs w:val="26"/>
              </w:rPr>
              <w:t xml:space="preserve"> của bảng giá đất do Ủy ban nhân dân cấp tỉnh quy định (đối với giá của loại đất </w:t>
            </w:r>
            <w:r w:rsidRPr="006306C2">
              <w:rPr>
                <w:rFonts w:ascii="Arial" w:eastAsia="Times New Roman" w:hAnsi="Arial" w:cs="Arial"/>
                <w:i/>
                <w:iCs/>
                <w:color w:val="222222"/>
                <w:sz w:val="26"/>
                <w:szCs w:val="26"/>
              </w:rPr>
              <w:lastRenderedPageBreak/>
              <w:t>trước khi vi phạm) và tại thời điểm lập biên bản vi phạm hành chính (đối với giá của loại đất sau khi chuyển mục đích)</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lastRenderedPageBreak/>
              <w:t>Khoản 1 Điều 7:</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Giá đất của loại đất trước và sau khi vi phạm được xác định bằng giá đất của bảng giá đất do Ủy ban nhân dân cấp tỉnh quy định </w:t>
            </w:r>
            <w:r w:rsidRPr="006306C2">
              <w:rPr>
                <w:rFonts w:ascii="Arial" w:eastAsia="Times New Roman" w:hAnsi="Arial" w:cs="Arial"/>
                <w:b/>
                <w:bCs/>
                <w:i/>
                <w:iCs/>
                <w:color w:val="222222"/>
                <w:sz w:val="26"/>
                <w:szCs w:val="26"/>
              </w:rPr>
              <w:t>nhân (x)</w:t>
            </w:r>
            <w:r w:rsidRPr="006306C2">
              <w:rPr>
                <w:rFonts w:ascii="Arial" w:eastAsia="Times New Roman" w:hAnsi="Arial" w:cs="Arial"/>
                <w:i/>
                <w:iCs/>
                <w:color w:val="222222"/>
                <w:sz w:val="26"/>
                <w:szCs w:val="26"/>
              </w:rPr>
              <w:t xml:space="preserve"> hệ số điều chỉnh giá đất tại thời điểm chuyển mục đích (đối với giá của loại đất </w:t>
            </w:r>
            <w:r w:rsidRPr="006306C2">
              <w:rPr>
                <w:rFonts w:ascii="Arial" w:eastAsia="Times New Roman" w:hAnsi="Arial" w:cs="Arial"/>
                <w:i/>
                <w:iCs/>
                <w:color w:val="222222"/>
                <w:sz w:val="26"/>
                <w:szCs w:val="26"/>
              </w:rPr>
              <w:lastRenderedPageBreak/>
              <w:t>trước khi vi phạm) và tại thời điểm lập biên bản vi phạm hành chính (đối với giá của loại đất sau khi chuyển mục đích)</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lastRenderedPageBreak/>
              <w:t>2.2 Khi sử dụng đất lấn, chiếm</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i/>
                <w:iCs/>
                <w:color w:val="222222"/>
                <w:sz w:val="26"/>
                <w:szCs w:val="26"/>
              </w:rPr>
              <w:t>Tính theo giá đất</w:t>
            </w:r>
            <w:r w:rsidRPr="006306C2">
              <w:rPr>
                <w:rFonts w:ascii="Arial" w:eastAsia="Times New Roman" w:hAnsi="Arial" w:cs="Arial"/>
                <w:i/>
                <w:iCs/>
                <w:color w:val="222222"/>
                <w:sz w:val="26"/>
                <w:szCs w:val="26"/>
              </w:rPr>
              <w:t> của bảng giá đất do Ủy ban nhân dân cấp tỉnh quy định đối với loại đất đang sử dụng sau khi lấn, chiếm tại thời điểm lập biên bản vi phạm hành chính</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Khoản 2 Điều 7</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Tính theo </w:t>
            </w:r>
            <w:r w:rsidRPr="006306C2">
              <w:rPr>
                <w:rFonts w:ascii="Arial" w:eastAsia="Times New Roman" w:hAnsi="Arial" w:cs="Arial"/>
                <w:b/>
                <w:bCs/>
                <w:i/>
                <w:iCs/>
                <w:color w:val="222222"/>
                <w:sz w:val="26"/>
                <w:szCs w:val="26"/>
              </w:rPr>
              <w:t>giá đất cụ thể</w:t>
            </w:r>
            <w:r w:rsidRPr="006306C2">
              <w:rPr>
                <w:rFonts w:ascii="Arial" w:eastAsia="Times New Roman" w:hAnsi="Arial" w:cs="Arial"/>
                <w:i/>
                <w:iCs/>
                <w:color w:val="222222"/>
                <w:sz w:val="26"/>
                <w:szCs w:val="26"/>
              </w:rPr>
              <w:t> bằng phương pháp hệ số điều chỉnh giá đất đối với loại đất đang sử dụng sau khi lấn, chiếm tại thời điểm lập biên bản vi phạm hành chính</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2.3 Khi chuyển nhượng, góp vốn bằng quyền sử dụng đất không đủ điều kiện</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Bằng giá trị chuyển quyền sử dụng đất thực tế theo hợp đồng đã ký, tính trong thời gian đã chuyển quyền, nhưng không thấp hơn giá trị tính theo giá đất của bảng giá đất do Ủy ban nhân dân cấp tỉnh quy định tại thời điểm lập biên bản vi phạm hành chính</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Khoản 3 Điều 7:</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Bằng giá trị chuyển quyền sử dụng đất thực tế theo hợp đồng đã ký, tính trong thời gian đã chuyển quyền, nhưng không thấp hơn giá trị tính theo giá đất cụ thể bằng phương pháp hệ số điều chỉnh giá đất tại thời điểm lập biên bản vi phạm hành chính</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2.4 Khi cho thuê, cho thuê lại quyền sử dụng đất không đủ điều kiện</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Tính trong thời gian đã cho thuê, cho thuê lại đất, nhưng không thấp hơn giá trị tiền thuê đất tính theo đơn giá thuê đất trả tiền hàng năm theo quy định của pháp luật tại thời điểm lập biên bản vi phạm hành chính nhân (x) với diện tích đất cho thuê, cho thuê lại (x) với số năm đã cho thuê, cho thuê lại (trong đó giá đất của bảng giá đất do Ủy ban nhân dân cấp tỉnh quy định).</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Khoản 4 Điều 7:</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 xml:space="preserve">Bằng giá trị cho thuê, cho thuê lại đất thực tế theo hợp đồng đã ký, tính trong thời gian đã cho thuê, cho thuê lại đất, nhưng không thấp hơn giá trị tiền thuê đất tính theo đơn giá thuê đất trả tiền hàng năm theo quy định của pháp luật tại thời điểm lập biên bản vi phạm hành chính nhân (x) với diện tích đất cho thuê, cho thuê lại (x) với số năm đã cho thuê, cho thuê lại (trong đó giá đất xác định cụ thể bằng </w:t>
            </w:r>
            <w:r w:rsidRPr="006306C2">
              <w:rPr>
                <w:rFonts w:ascii="Arial" w:eastAsia="Times New Roman" w:hAnsi="Arial" w:cs="Arial"/>
                <w:i/>
                <w:iCs/>
                <w:color w:val="222222"/>
                <w:sz w:val="26"/>
                <w:szCs w:val="26"/>
              </w:rPr>
              <w:lastRenderedPageBreak/>
              <w:t>phương pháp hệ số điều chỉnh giá đất).</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lastRenderedPageBreak/>
              <w:t>2.5 Bổ sung khoản 10</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Việc nộp số lợi bất hợp pháp có được do thực hiện hành vi vi phạm đã xảy ra trước ngày Nghị định số 91/2019/NĐ-CP có hiệu lực thi hành chỉ áp dụng đối với các hành vi vi phạm mà các Nghị định xử phạt vi phạm hành chính về đất đai trước đây (trước Nghị định số 91/2019/NĐ-CP) có quy định phải nộp số lợi bất hợp pháp. Thời gian xác định số lợi bất hợp pháp phải nộp chỉ tính từ khi Nghị định có quy định hành vi vi phạm phải nộp số lợi bất hợp pháp có hiệu lực thi hành hoặc tính từ ngày xảy ra vi phạm nếu vi phạm xảy ra sau ngày Nghị định xử phạt vi phạm hành chính về đất đai đầu tiên có quy định phải nộp số lợi bất hợp pháp đã có hiệu lực. Việc xác định số lợi bất hợp pháp có được do thực hiện hành vi vi phạm được thực hiện theo quy định tại Nghị định này</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Không quy định</w:t>
            </w:r>
          </w:p>
        </w:tc>
      </w:tr>
      <w:tr w:rsidR="006306C2" w:rsidRPr="006306C2" w:rsidTr="006306C2">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color w:val="222222"/>
                <w:sz w:val="26"/>
                <w:szCs w:val="26"/>
              </w:rPr>
              <w:t>3.</w:t>
            </w:r>
            <w:r w:rsidRPr="006306C2">
              <w:rPr>
                <w:rFonts w:ascii="Arial" w:eastAsia="Times New Roman" w:hAnsi="Arial" w:cs="Arial"/>
                <w:color w:val="222222"/>
                <w:sz w:val="26"/>
                <w:szCs w:val="26"/>
              </w:rPr>
              <w:t> Sửa quy định phạt khi chuyển nhượng quyền sử dụng đất gắn với chuyển nhượng một phần hoặc toàn bộ dự án đầu tư mà không đủ điều kiện</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Khoản 6 Điều 1:</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Phạt tiền từ 50 - 100 triệu đồng nếu nhận chuyển nhượng quyền sử dụng đất gắn với chuyển nhượng một phần hoặc toàn bộ dự án đầu tư mà người chuyển nhượng </w:t>
            </w:r>
            <w:r w:rsidRPr="006306C2">
              <w:rPr>
                <w:rFonts w:ascii="Arial" w:eastAsia="Times New Roman" w:hAnsi="Arial" w:cs="Arial"/>
                <w:b/>
                <w:bCs/>
                <w:i/>
                <w:iCs/>
                <w:color w:val="222222"/>
                <w:sz w:val="26"/>
                <w:szCs w:val="26"/>
              </w:rPr>
              <w:t>vi phạm</w:t>
            </w:r>
            <w:r w:rsidRPr="006306C2">
              <w:rPr>
                <w:rFonts w:ascii="Arial" w:eastAsia="Times New Roman" w:hAnsi="Arial" w:cs="Arial"/>
                <w:i/>
                <w:iCs/>
                <w:color w:val="222222"/>
                <w:sz w:val="26"/>
                <w:szCs w:val="26"/>
              </w:rPr>
              <w:t xml:space="preserve"> quy định của pháp luật về đất đai đối với trường hợp đang sử </w:t>
            </w:r>
            <w:r w:rsidRPr="006306C2">
              <w:rPr>
                <w:rFonts w:ascii="Arial" w:eastAsia="Times New Roman" w:hAnsi="Arial" w:cs="Arial"/>
                <w:i/>
                <w:iCs/>
                <w:color w:val="222222"/>
                <w:sz w:val="26"/>
                <w:szCs w:val="26"/>
              </w:rPr>
              <w:lastRenderedPageBreak/>
              <w:t>dụng đất do Nhà nước giao đất, cho thuê đất để thực hiện dự án đầu tư khác</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lastRenderedPageBreak/>
              <w:t>Khoản 2 Điều 22:</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Phạt tiền từ 50 - 100 triệu đồng nếu nhận chuyển nhượng quyền sử dụng đất gắn với chuyển nhượng một phần hoặc toàn bộ dự án đầu tư mà người chuyển nhượng </w:t>
            </w:r>
            <w:r w:rsidRPr="006306C2">
              <w:rPr>
                <w:rFonts w:ascii="Arial" w:eastAsia="Times New Roman" w:hAnsi="Arial" w:cs="Arial"/>
                <w:b/>
                <w:bCs/>
                <w:i/>
                <w:iCs/>
                <w:color w:val="222222"/>
                <w:sz w:val="26"/>
                <w:szCs w:val="26"/>
              </w:rPr>
              <w:t>không vi phạm</w:t>
            </w:r>
            <w:r w:rsidRPr="006306C2">
              <w:rPr>
                <w:rFonts w:ascii="Arial" w:eastAsia="Times New Roman" w:hAnsi="Arial" w:cs="Arial"/>
                <w:i/>
                <w:iCs/>
                <w:color w:val="222222"/>
                <w:sz w:val="26"/>
                <w:szCs w:val="26"/>
              </w:rPr>
              <w:t xml:space="preserve"> quy định của pháp luật về đất đai đối với </w:t>
            </w:r>
            <w:r w:rsidRPr="006306C2">
              <w:rPr>
                <w:rFonts w:ascii="Arial" w:eastAsia="Times New Roman" w:hAnsi="Arial" w:cs="Arial"/>
                <w:i/>
                <w:iCs/>
                <w:color w:val="222222"/>
                <w:sz w:val="26"/>
                <w:szCs w:val="26"/>
              </w:rPr>
              <w:lastRenderedPageBreak/>
              <w:t>trường hợp đang sử dụng đất do Nhà nước giao đất, cho thuê đất để thực hiện dự án đầu tư khác</w:t>
            </w:r>
          </w:p>
        </w:tc>
      </w:tr>
      <w:tr w:rsidR="006306C2" w:rsidRPr="006306C2" w:rsidTr="006306C2">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color w:val="222222"/>
                <w:sz w:val="26"/>
                <w:szCs w:val="26"/>
              </w:rPr>
              <w:lastRenderedPageBreak/>
              <w:t>4.</w:t>
            </w:r>
            <w:r w:rsidRPr="006306C2">
              <w:rPr>
                <w:rFonts w:ascii="Arial" w:eastAsia="Times New Roman" w:hAnsi="Arial" w:cs="Arial"/>
                <w:color w:val="222222"/>
                <w:sz w:val="26"/>
                <w:szCs w:val="26"/>
              </w:rPr>
              <w:t> Tăng thẩm quyền phạt tiền của Chủ tịch UBND cấp huyện</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Khoản 8 Điều 1:</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100 triệu đồng</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Khoản 2 Điều 38:</w:t>
            </w:r>
          </w:p>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i/>
                <w:iCs/>
                <w:color w:val="222222"/>
                <w:sz w:val="26"/>
                <w:szCs w:val="26"/>
              </w:rPr>
              <w:t>50 triệu đồng</w:t>
            </w:r>
          </w:p>
        </w:tc>
      </w:tr>
      <w:tr w:rsidR="006306C2" w:rsidRPr="006306C2" w:rsidTr="006306C2">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b/>
                <w:bCs/>
                <w:color w:val="222222"/>
                <w:sz w:val="26"/>
                <w:szCs w:val="26"/>
              </w:rPr>
              <w:t>5.</w:t>
            </w:r>
            <w:r w:rsidRPr="006306C2">
              <w:rPr>
                <w:rFonts w:ascii="Arial" w:eastAsia="Times New Roman" w:hAnsi="Arial" w:cs="Arial"/>
                <w:color w:val="222222"/>
                <w:sz w:val="26"/>
                <w:szCs w:val="26"/>
              </w:rPr>
              <w:t> Bổ sung khoản 4 Điều 43</w:t>
            </w:r>
          </w:p>
        </w:tc>
      </w:tr>
      <w:tr w:rsidR="006306C2" w:rsidRPr="006306C2" w:rsidTr="006306C2">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120" w:line="383" w:lineRule="atLeast"/>
              <w:rPr>
                <w:rFonts w:ascii="Arial" w:eastAsia="Times New Roman" w:hAnsi="Arial" w:cs="Arial"/>
                <w:color w:val="222222"/>
                <w:sz w:val="26"/>
                <w:szCs w:val="26"/>
              </w:rPr>
            </w:pPr>
            <w:r w:rsidRPr="006306C2">
              <w:rPr>
                <w:rFonts w:ascii="Arial" w:eastAsia="Times New Roman" w:hAnsi="Arial" w:cs="Arial"/>
                <w:color w:val="222222"/>
                <w:sz w:val="26"/>
                <w:szCs w:val="26"/>
              </w:rPr>
              <w:t>Bãi bỏ điểm c khoản 2, điểm k khoản 3, khoản 5 Điều 4; khoản 4 Điều 38 và khoản 6 Điều 39 Nghị định số 91/2019/NĐ-CP</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06C2" w:rsidRPr="006306C2" w:rsidRDefault="006306C2" w:rsidP="006306C2">
            <w:pPr>
              <w:spacing w:after="0" w:line="240" w:lineRule="auto"/>
              <w:rPr>
                <w:rFonts w:ascii="Arial" w:eastAsia="Times New Roman" w:hAnsi="Arial" w:cs="Arial"/>
                <w:color w:val="222222"/>
                <w:sz w:val="26"/>
                <w:szCs w:val="26"/>
              </w:rPr>
            </w:pPr>
            <w:r w:rsidRPr="006306C2">
              <w:rPr>
                <w:rFonts w:ascii="Arial" w:eastAsia="Times New Roman" w:hAnsi="Arial" w:cs="Arial"/>
                <w:color w:val="222222"/>
                <w:sz w:val="26"/>
                <w:szCs w:val="26"/>
              </w:rPr>
              <w:t>Không quy định</w:t>
            </w:r>
          </w:p>
        </w:tc>
      </w:tr>
    </w:tbl>
    <w:p w:rsidR="007E20BF" w:rsidRDefault="007E20BF"/>
    <w:p w:rsidR="006306C2" w:rsidRDefault="006306C2">
      <w:bookmarkStart w:id="0" w:name="_GoBack"/>
      <w:bookmarkEnd w:id="0"/>
    </w:p>
    <w:sectPr w:rsidR="006306C2" w:rsidSect="0089081C">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C8A" w:rsidRDefault="00567C8A" w:rsidP="0089081C">
      <w:pPr>
        <w:spacing w:after="0" w:line="240" w:lineRule="auto"/>
      </w:pPr>
      <w:r>
        <w:separator/>
      </w:r>
    </w:p>
  </w:endnote>
  <w:endnote w:type="continuationSeparator" w:id="0">
    <w:p w:rsidR="00567C8A" w:rsidRDefault="00567C8A" w:rsidP="0089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C8A" w:rsidRDefault="00567C8A" w:rsidP="0089081C">
      <w:pPr>
        <w:spacing w:after="0" w:line="240" w:lineRule="auto"/>
      </w:pPr>
      <w:r>
        <w:separator/>
      </w:r>
    </w:p>
  </w:footnote>
  <w:footnote w:type="continuationSeparator" w:id="0">
    <w:p w:rsidR="00567C8A" w:rsidRDefault="00567C8A" w:rsidP="008908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796996"/>
      <w:docPartObj>
        <w:docPartGallery w:val="Page Numbers (Top of Page)"/>
        <w:docPartUnique/>
      </w:docPartObj>
    </w:sdtPr>
    <w:sdtEndPr>
      <w:rPr>
        <w:noProof/>
      </w:rPr>
    </w:sdtEndPr>
    <w:sdtContent>
      <w:p w:rsidR="0089081C" w:rsidRDefault="0089081C">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89081C" w:rsidRDefault="008908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6C2"/>
    <w:rsid w:val="004738DF"/>
    <w:rsid w:val="00567C8A"/>
    <w:rsid w:val="006306C2"/>
    <w:rsid w:val="006741C9"/>
    <w:rsid w:val="007E20BF"/>
    <w:rsid w:val="0089081C"/>
    <w:rsid w:val="009E19B8"/>
    <w:rsid w:val="00C6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08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81C"/>
  </w:style>
  <w:style w:type="paragraph" w:styleId="Footer">
    <w:name w:val="footer"/>
    <w:basedOn w:val="Normal"/>
    <w:link w:val="FooterChar"/>
    <w:uiPriority w:val="99"/>
    <w:unhideWhenUsed/>
    <w:rsid w:val="008908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8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08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81C"/>
  </w:style>
  <w:style w:type="paragraph" w:styleId="Footer">
    <w:name w:val="footer"/>
    <w:basedOn w:val="Normal"/>
    <w:link w:val="FooterChar"/>
    <w:uiPriority w:val="99"/>
    <w:unhideWhenUsed/>
    <w:rsid w:val="008908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823761">
      <w:bodyDiv w:val="1"/>
      <w:marLeft w:val="0"/>
      <w:marRight w:val="0"/>
      <w:marTop w:val="0"/>
      <w:marBottom w:val="0"/>
      <w:divBdr>
        <w:top w:val="none" w:sz="0" w:space="0" w:color="auto"/>
        <w:left w:val="none" w:sz="0" w:space="0" w:color="auto"/>
        <w:bottom w:val="none" w:sz="0" w:space="0" w:color="auto"/>
        <w:right w:val="none" w:sz="0" w:space="0" w:color="auto"/>
      </w:divBdr>
      <w:divsChild>
        <w:div w:id="329143860">
          <w:marLeft w:val="0"/>
          <w:marRight w:val="0"/>
          <w:marTop w:val="75"/>
          <w:marBottom w:val="0"/>
          <w:divBdr>
            <w:top w:val="none" w:sz="0" w:space="0" w:color="auto"/>
            <w:left w:val="none" w:sz="0" w:space="0" w:color="auto"/>
            <w:bottom w:val="none" w:sz="0" w:space="0" w:color="auto"/>
            <w:right w:val="none" w:sz="0" w:space="0" w:color="auto"/>
          </w:divBdr>
        </w:div>
      </w:divsChild>
    </w:div>
    <w:div w:id="208610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dat-dai/nghi-dinh-91-2019-nd-cp-xu-ly-vi-pham-hanh-chinh-linh-vuc-dat-dai-178398-d1.html" TargetMode="External"/><Relationship Id="rId3" Type="http://schemas.openxmlformats.org/officeDocument/2006/relationships/settings" Target="settings.xml"/><Relationship Id="rId7" Type="http://schemas.openxmlformats.org/officeDocument/2006/relationships/hyperlink" Target="https://luatvietnam.vn/vi-pham-hanh-chinh/nghi-dinh-04-2022-nd-cp-215489-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Van Mung</dc:creator>
  <cp:lastModifiedBy>Dang Van Mung</cp:lastModifiedBy>
  <cp:revision>4</cp:revision>
  <dcterms:created xsi:type="dcterms:W3CDTF">2022-03-29T03:04:00Z</dcterms:created>
  <dcterms:modified xsi:type="dcterms:W3CDTF">2022-05-04T02:18:00Z</dcterms:modified>
</cp:coreProperties>
</file>